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C9A227" w:sz="36" w:space="0"/>
          <w:bottom w:val="single" w:color="1A52A0" w:sz="4" w:space="4"/>
        </w:pBdr>
        <w:spacing w:after="0" w:before="0"/>
      </w:pPr>
    </w:p>
    <w:p>
      <w:pPr>
        <w:spacing w:after="560" w:before="0"/>
      </w:pPr>
    </w:p>
    <w:p>
      <w:pPr>
        <w:spacing w:after="200" w:before="0"/>
        <w:jc w:val="center"/>
      </w:pPr>
      <w:r>
        <w:drawing>
          <wp:inline distT="0" distB="0" distL="0" distR="0">
            <wp:extent cx="2857500" cy="1076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80" w:before="0"/>
      </w:pPr>
    </w:p>
    <w:p>
      <w:pPr>
        <w:spacing w:after="120" w:before="0"/>
        <w:jc w:val="center"/>
      </w:pPr>
      <w:r>
        <w:rPr>
          <w:rFonts w:ascii="Arial" w:cs="Arial" w:eastAsia="Arial" w:hAnsi="Arial"/>
          <w:b/>
          <w:bCs/>
          <w:color w:val="1A52A0"/>
          <w:sz w:val="52"/>
          <w:szCs w:val="52"/>
        </w:rPr>
        <w:t xml:space="preserve">LMS REQUEST FOR PROPOSAL</w:t>
      </w:r>
    </w:p>
    <w:p>
      <w:pPr>
        <w:spacing w:after="80" w:before="0"/>
        <w:jc w:val="center"/>
      </w:pPr>
      <w:r>
        <w:rPr>
          <w:rFonts w:ascii="Arial" w:cs="Arial" w:eastAsia="Arial" w:hAnsi="Arial"/>
          <w:b/>
          <w:bCs/>
          <w:color w:val="C9A227"/>
          <w:sz w:val="52"/>
          <w:szCs w:val="52"/>
        </w:rPr>
        <w:t xml:space="preserve">TEMPLATE</w:t>
      </w:r>
    </w:p>
    <w:p>
      <w:pPr>
        <w:pBdr>
          <w:top w:val="single" w:color="C9A227" w:sz="4" w:space="8"/>
          <w:bottom w:val="single" w:color="C9A227" w:sz="4" w:space="8"/>
        </w:pBdr>
        <w:spacing w:after="80" w:before="120"/>
        <w:jc w:val="center"/>
      </w:pPr>
      <w:r>
        <w:rPr>
          <w:rFonts w:ascii="Arial" w:cs="Arial" w:eastAsia="Arial" w:hAnsi="Arial"/>
          <w:i/>
          <w:iCs/>
          <w:color w:val="555555"/>
          <w:sz w:val="22"/>
          <w:szCs w:val="22"/>
        </w:rPr>
        <w:t xml:space="preserve">The World's Most Comprehensive LMS Procurement Document</w:t>
      </w:r>
    </w:p>
    <w:p>
      <w:pPr>
        <w:spacing w:after="280" w:before="0"/>
      </w:pPr>
    </w:p>
    <w:tbl>
      <w:tblPr>
        <w:tblW w:type="dxa" w:w="7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0"/>
      </w:tblGrid>
      <w:tr>
        <w:tc>
          <w:tcPr>
            <w:tcW w:type="dxa" w:w="72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EBF2FB" w:val="clear"/>
            <w:tcMar>
              <w:top w:type="dxa" w:w="200"/>
              <w:left w:type="dxa" w:w="360"/>
              <w:bottom w:type="dxa" w:w="200"/>
              <w:right w:type="dxa" w:w="36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52A0"/>
                <w:sz w:val="20"/>
                <w:szCs w:val="20"/>
              </w:rPr>
              <w:t xml:space="preserve">Prepared by: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555555"/>
                <w:sz w:val="20"/>
                <w:szCs w:val="20"/>
              </w:rPr>
              <w:t xml:space="preserve">[Organization Name]</w:t>
            </w:r>
          </w:p>
          <w:p>
            <w:pPr>
              <w:spacing w:after="60" w:before="0"/>
            </w:pP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52A0"/>
                <w:sz w:val="20"/>
                <w:szCs w:val="20"/>
              </w:rPr>
              <w:t xml:space="preserve">Date Issued: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555555"/>
                <w:sz w:val="20"/>
                <w:szCs w:val="20"/>
              </w:rPr>
              <w:t xml:space="preserve">[Date]</w:t>
            </w:r>
          </w:p>
          <w:p>
            <w:pPr>
              <w:spacing w:after="60" w:before="0"/>
            </w:pP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52A0"/>
                <w:sz w:val="20"/>
                <w:szCs w:val="20"/>
              </w:rPr>
              <w:t xml:space="preserve">RFP Reference Number: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555555"/>
                <w:sz w:val="20"/>
                <w:szCs w:val="20"/>
              </w:rPr>
              <w:t xml:space="preserve">[RFP-YYYY-XXX]</w:t>
            </w:r>
          </w:p>
        </w:tc>
      </w:tr>
    </w:tbl>
    <w:p>
      <w:pPr>
        <w:spacing w:after="400" w:before="0"/>
      </w:pPr>
    </w:p>
    <w:p>
      <w:pPr>
        <w:spacing w:after="60" w:before="0"/>
        <w:jc w:val="center"/>
      </w:pPr>
      <w:r>
        <w:rPr>
          <w:rFonts w:ascii="Arial" w:cs="Arial" w:eastAsia="Arial" w:hAnsi="Arial"/>
          <w:color w:val="1A52A0"/>
          <w:sz w:val="18"/>
          <w:szCs w:val="18"/>
        </w:rPr>
        <w:t xml:space="preserve">Powered by LMSPedia  |  lmspedia.org</w:t>
      </w:r>
    </w:p>
    <w:p>
      <w:pPr>
        <w:spacing w:after="60" w:before="0"/>
        <w:jc w:val="center"/>
      </w:pPr>
      <w:r>
        <w:rPr>
          <w:rFonts w:ascii="Arial" w:cs="Arial" w:eastAsia="Arial" w:hAnsi="Arial"/>
          <w:i/>
          <w:iCs/>
          <w:color w:val="555555"/>
          <w:sz w:val="16"/>
          <w:szCs w:val="16"/>
        </w:rPr>
        <w:t xml:space="preserve">The Independent Guide to Learning Management Systems</w:t>
      </w:r>
    </w:p>
    <w:p>
      <w:r>
        <w:br w:type="page"/>
      </w:r>
    </w:p>
    <w:p>
      <w:pPr>
        <w:pStyle w:val="Heading1"/>
        <w:pBdr>
          <w:bottom w:val="single" w:color="C9A227" w:sz="6" w:space="4"/>
        </w:pBdr>
        <w:spacing w:after="120" w:before="320"/>
      </w:pPr>
      <w:r>
        <w:rPr>
          <w:rFonts w:ascii="Arial" w:cs="Arial" w:eastAsia="Arial" w:hAnsi="Arial"/>
          <w:b/>
          <w:bCs/>
          <w:color w:val="1A52A0"/>
          <w:sz w:val="28"/>
          <w:szCs w:val="28"/>
        </w:rPr>
        <w:t xml:space="preserve">How to Use This Template</w:t>
      </w:r>
    </w:p>
    <w:p>
      <w:pPr>
        <w:spacing w:after="80" w:before="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This LMS RFP Template has been purpose-built for HR leaders, L&amp;D professionals, procurement managers, and IT teams who are evaluating Learning Management Systems (LMS) — whether for the first time or as a replacement. It works across all industries and organization sizes.</w:t>
      </w:r>
    </w:p>
    <w:p>
      <w:pPr>
        <w:spacing w:after="60" w:before="0"/>
      </w:pP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What Is an LMS RFP?</w:t>
      </w:r>
    </w:p>
    <w:p>
      <w:pPr>
        <w:spacing w:after="80" w:before="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A Request for Proposal (RFP) is a formal document you send to shortlisted LMS vendors, asking them to demonstrate how their platform meets your specific needs. Unlike a general inquiry, an RFP forces vendors to respond to your exact requirements, making comparison objective and structured.</w:t>
      </w:r>
    </w:p>
    <w:p>
      <w:pPr>
        <w:spacing w:after="40" w:before="0"/>
      </w:pP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Step-by-Step Guide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000"/>
        <w:gridCol w:w="6560"/>
      </w:tblGrid>
      <w:tr>
        <w:tc>
          <w:tcPr>
            <w:tcW w:type="dxa" w:w="8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Step</w:t>
            </w:r>
          </w:p>
        </w:tc>
        <w:tc>
          <w:tcPr>
            <w:tcW w:type="dxa" w:w="20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Action</w:t>
            </w:r>
          </w:p>
        </w:tc>
        <w:tc>
          <w:tcPr>
            <w:tcW w:type="dxa" w:w="656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Details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2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52A0"/>
                <w:sz w:val="20"/>
                <w:szCs w:val="20"/>
              </w:rPr>
              <w:t xml:space="preserve">1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2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2A0"/>
                <w:sz w:val="18"/>
                <w:szCs w:val="18"/>
              </w:rPr>
              <w:t xml:space="preserve">Assemble Your RFP Team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2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Include stakeholders from HR/L&amp;D, IT, Finance, and at least one end-user representative. Each brings a different lens to requirements.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52A0"/>
                <w:sz w:val="20"/>
                <w:szCs w:val="20"/>
              </w:rPr>
              <w:t xml:space="preserve">2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2A0"/>
                <w:sz w:val="18"/>
                <w:szCs w:val="18"/>
              </w:rPr>
              <w:t xml:space="preserve">Complete Part A (About You)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Fill in all bracketed fields in Sections 1–4 before sending. The more context vendors have, the better their proposals will be.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2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52A0"/>
                <w:sz w:val="20"/>
                <w:szCs w:val="20"/>
              </w:rPr>
              <w:t xml:space="preserve">3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2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2A0"/>
                <w:sz w:val="18"/>
                <w:szCs w:val="18"/>
              </w:rPr>
              <w:t xml:space="preserve">Customize Requirements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2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Review Sections 5–13. Mark each row as Must-Have (M), Nice-to-Have (N), or Not Required (NR). Delete sections that don't apply to you.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52A0"/>
                <w:sz w:val="20"/>
                <w:szCs w:val="20"/>
              </w:rPr>
              <w:t xml:space="preserve">4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2A0"/>
                <w:sz w:val="18"/>
                <w:szCs w:val="18"/>
              </w:rPr>
              <w:t xml:space="preserve">Set Priority Weights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Use the Vendor Scoring Matrix (companion Excel file) to assign weights to each requirement category based on your priorities.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2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52A0"/>
                <w:sz w:val="20"/>
                <w:szCs w:val="20"/>
              </w:rPr>
              <w:t xml:space="preserve">5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2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2A0"/>
                <w:sz w:val="18"/>
                <w:szCs w:val="18"/>
              </w:rPr>
              <w:t xml:space="preserve">Shortlist Vendors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2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Send this RFP to 3–6 shortlisted vendors. Any fewer limits comparison; any more creates evaluation overload.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52A0"/>
                <w:sz w:val="20"/>
                <w:szCs w:val="20"/>
              </w:rPr>
              <w:t xml:space="preserve">6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2A0"/>
                <w:sz w:val="18"/>
                <w:szCs w:val="18"/>
              </w:rPr>
              <w:t xml:space="preserve">Evaluate Responses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Score each vendor response using the weighted matrix. Schedule demos using the same scripted scenarios for all vendors.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2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52A0"/>
                <w:sz w:val="20"/>
                <w:szCs w:val="20"/>
              </w:rPr>
              <w:t xml:space="preserve">7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2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2A0"/>
                <w:sz w:val="18"/>
                <w:szCs w:val="18"/>
              </w:rPr>
              <w:t xml:space="preserve">Check References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2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Use the Reference Check Framework (Section 17) before making a final decision. Ask the same questions to every reference.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52A0"/>
                <w:sz w:val="20"/>
                <w:szCs w:val="20"/>
              </w:rPr>
              <w:t xml:space="preserve">8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2A0"/>
                <w:sz w:val="18"/>
                <w:szCs w:val="18"/>
              </w:rPr>
              <w:t xml:space="preserve">Negotiate &amp; Contract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Use vendor responses as the baseline for contract negotiations. Unresolved gaps in the RFP become contract clauses.</w:t>
            </w:r>
          </w:p>
        </w:tc>
      </w:tr>
    </w:tbl>
    <w:p>
      <w:pPr>
        <w:spacing w:after="120" w:before="0"/>
      </w:pP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Priority Legend</w:t>
      </w:r>
    </w:p>
    <w:p>
      <w:pPr>
        <w:spacing w:after="80" w:before="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Throughout this document, use the following priority codes in the 'Priority' column of each requirements table: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1200"/>
        <w:gridCol w:w="3660"/>
      </w:tblGrid>
      <w:tr>
        <w:trPr>
          <w:tblHeader/>
        </w:trPr>
        <w:tc>
          <w:tcPr>
            <w:tcW w:type="dxa" w:w="45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Code</w:t>
            </w:r>
          </w:p>
        </w:tc>
        <w:tc>
          <w:tcPr>
            <w:tcW w:type="dxa" w:w="12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Meaning</w:t>
            </w:r>
          </w:p>
        </w:tc>
      </w:tr>
      <w:tr>
        <w:tc>
          <w:tcPr>
            <w:tcW w:type="dxa" w:w="4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 — Must-Have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Non-negotiable. A vendor that cannot meet this requirement should be disqualified.</w:t>
            </w:r>
          </w:p>
        </w:tc>
      </w:tr>
      <w:tr>
        <w:tc>
          <w:tcPr>
            <w:tcW w:type="dxa" w:w="4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N — Nice-to-Have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Preferred but not critical. Award bonus points in your scoring matrix.</w:t>
            </w:r>
          </w:p>
        </w:tc>
      </w:tr>
      <w:tr>
        <w:tc>
          <w:tcPr>
            <w:tcW w:type="dxa" w:w="4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NR — Not Required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Not relevant to your organization. Leave blank or delete the row.</w:t>
            </w:r>
          </w:p>
        </w:tc>
      </w:tr>
      <w:tr>
        <w:tc>
          <w:tcPr>
            <w:tcW w:type="dxa" w:w="4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TBD — To Be Determined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Unsure at this stage. Clarify internally before finalizing the RFP.</w:t>
            </w:r>
          </w:p>
        </w:tc>
      </w:tr>
    </w:tbl>
    <w:p>
      <w:pPr>
        <w:spacing w:after="120" w:before="0"/>
      </w:pPr>
    </w:p>
    <w:p>
      <w:pPr>
        <w:pBdr>
          <w:left w:val="single" w:color="1A52A0" w:sz="18" w:space="8"/>
        </w:pBdr>
        <w:spacing w:after="120" w:before="120"/>
        <w:ind w:left="200"/>
      </w:pPr>
      <w:r>
        <w:rPr>
          <w:rFonts w:ascii="Arial" w:cs="Arial" w:eastAsia="Arial" w:hAnsi="Arial"/>
          <w:i/>
          <w:iCs/>
          <w:color w:val="000000"/>
          <w:sz w:val="18"/>
          <w:szCs w:val="18"/>
        </w:rPr>
        <w:t xml:space="preserve">PRO TIP: Attach this template's companion file — the LMSPedia LMS RFP Questionnaire (Excel) — to automatically score vendor responses using a weighted matrix. Available at lmspedia.org</w:t>
      </w:r>
    </w:p>
    <w:p>
      <w:r>
        <w:br w:type="page"/>
      </w:r>
    </w:p>
    <w:p>
      <w:pPr>
        <w:pBdr>
          <w:top w:val="single" w:color="C9A227" w:sz="4"/>
          <w:bottom w:val="single" w:color="C9A227" w:sz="4"/>
        </w:pBdr>
        <w:shd w:fill="1A52A0" w:val="clear"/>
        <w:spacing w:after="80" w:before="0"/>
        <w:ind w:left="240" w:right="240"/>
      </w:pPr>
      <w:r>
        <w:rPr>
          <w:rFonts w:ascii="Arial" w:cs="Arial" w:eastAsia="Arial" w:hAnsi="Arial"/>
          <w:b/>
          <w:bCs/>
          <w:color w:val="FFFFFF"/>
          <w:sz w:val="36"/>
          <w:szCs w:val="36"/>
        </w:rPr>
        <w:t xml:space="preserve">PART A: ABOUT YOUR ORGANIZATION</w:t>
      </w:r>
    </w:p>
    <w:p>
      <w:pPr>
        <w:spacing w:after="60" w:before="0"/>
      </w:pPr>
    </w:p>
    <w:p>
      <w:pPr>
        <w:spacing w:after="80" w:before="6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20"/>
          <w:szCs w:val="20"/>
        </w:rPr>
        <w:t xml:space="preserve">Complete all fields in Part A before distributing this RFP. Vendors need this context to tailor their proposals to your organization's specific reality.</w:t>
      </w:r>
    </w:p>
    <w:p>
      <w:pPr>
        <w:spacing w:after="60" w:before="0"/>
      </w:pPr>
    </w:p>
    <w:p>
      <w:pPr>
        <w:pStyle w:val="Heading1"/>
        <w:pBdr>
          <w:bottom w:val="single" w:color="C9A227" w:sz="6" w:space="4"/>
        </w:pBdr>
        <w:spacing w:after="120" w:before="320"/>
      </w:pPr>
      <w:r>
        <w:rPr>
          <w:rFonts w:ascii="Arial" w:cs="Arial" w:eastAsia="Arial" w:hAnsi="Arial"/>
          <w:b/>
          <w:bCs/>
          <w:color w:val="1A52A0"/>
          <w:sz w:val="28"/>
          <w:szCs w:val="28"/>
        </w:rPr>
        <w:t xml:space="preserve">Section 1: Organization Overview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0"/>
        <w:gridCol w:w="7200"/>
      </w:tblGrid>
      <w:tr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2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2A0"/>
                <w:sz w:val="18"/>
                <w:szCs w:val="18"/>
              </w:rPr>
              <w:t xml:space="preserve">Organization Name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555555"/>
                <w:sz w:val="18"/>
                <w:szCs w:val="18"/>
              </w:rPr>
              <w:t xml:space="preserve">[Full legal name of your organization]</w:t>
            </w:r>
          </w:p>
        </w:tc>
      </w:tr>
    </w:tbl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0"/>
        <w:gridCol w:w="7200"/>
      </w:tblGrid>
      <w:tr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2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2A0"/>
                <w:sz w:val="18"/>
                <w:szCs w:val="18"/>
              </w:rPr>
              <w:t xml:space="preserve">Industry / Sector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555555"/>
                <w:sz w:val="18"/>
                <w:szCs w:val="18"/>
              </w:rPr>
              <w:t xml:space="preserve">[e.g., Healthcare, Manufacturing, Financial Services, Education, Retail, Technology, Government, Non-Profit, etc.]</w:t>
            </w:r>
          </w:p>
        </w:tc>
      </w:tr>
    </w:tbl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0"/>
        <w:gridCol w:w="7200"/>
      </w:tblGrid>
      <w:tr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2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2A0"/>
                <w:sz w:val="18"/>
                <w:szCs w:val="18"/>
              </w:rPr>
              <w:t xml:space="preserve">Headquarters Location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555555"/>
                <w:sz w:val="18"/>
                <w:szCs w:val="18"/>
              </w:rPr>
              <w:t xml:space="preserve">[City, State/Province, Country]</w:t>
            </w:r>
          </w:p>
        </w:tc>
      </w:tr>
    </w:tbl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0"/>
        <w:gridCol w:w="7200"/>
      </w:tblGrid>
      <w:tr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2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2A0"/>
                <w:sz w:val="18"/>
                <w:szCs w:val="18"/>
              </w:rPr>
              <w:t xml:space="preserve">Operating Regions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555555"/>
                <w:sz w:val="18"/>
                <w:szCs w:val="18"/>
              </w:rPr>
              <w:t xml:space="preserve">[List all countries / regions where the LMS will be deployed]</w:t>
            </w:r>
          </w:p>
        </w:tc>
      </w:tr>
    </w:tbl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0"/>
        <w:gridCol w:w="7200"/>
      </w:tblGrid>
      <w:tr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2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2A0"/>
                <w:sz w:val="18"/>
                <w:szCs w:val="18"/>
              </w:rPr>
              <w:t xml:space="preserve">Total Employees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555555"/>
                <w:sz w:val="18"/>
                <w:szCs w:val="18"/>
              </w:rPr>
              <w:t xml:space="preserve">[Total headcount globally]</w:t>
            </w:r>
          </w:p>
        </w:tc>
      </w:tr>
    </w:tbl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0"/>
        <w:gridCol w:w="7200"/>
      </w:tblGrid>
      <w:tr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2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2A0"/>
                <w:sz w:val="18"/>
                <w:szCs w:val="18"/>
              </w:rPr>
              <w:t xml:space="preserve">Total Learners (LMS Users)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555555"/>
                <w:sz w:val="18"/>
                <w:szCs w:val="18"/>
              </w:rPr>
              <w:t xml:space="preserve">[Number of users who will actively use the LMS — may differ from total employees]</w:t>
            </w:r>
          </w:p>
        </w:tc>
      </w:tr>
    </w:tbl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0"/>
        <w:gridCol w:w="7200"/>
      </w:tblGrid>
      <w:tr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2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2A0"/>
                <w:sz w:val="18"/>
                <w:szCs w:val="18"/>
              </w:rPr>
              <w:t xml:space="preserve">Current LMS (if any)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555555"/>
                <w:sz w:val="18"/>
                <w:szCs w:val="18"/>
              </w:rPr>
              <w:t xml:space="preserve">[Name of existing LMS, or 'None — first-time implementation']</w:t>
            </w:r>
          </w:p>
        </w:tc>
      </w:tr>
    </w:tbl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0"/>
        <w:gridCol w:w="7200"/>
      </w:tblGrid>
      <w:tr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2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2A0"/>
                <w:sz w:val="18"/>
                <w:szCs w:val="18"/>
              </w:rPr>
              <w:t xml:space="preserve">Primary Contact Name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555555"/>
                <w:sz w:val="18"/>
                <w:szCs w:val="18"/>
              </w:rPr>
              <w:t xml:space="preserve">[Full name]</w:t>
            </w:r>
          </w:p>
        </w:tc>
      </w:tr>
    </w:tbl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0"/>
        <w:gridCol w:w="7200"/>
      </w:tblGrid>
      <w:tr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2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2A0"/>
                <w:sz w:val="18"/>
                <w:szCs w:val="18"/>
              </w:rPr>
              <w:t xml:space="preserve">Primary Contact Title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555555"/>
                <w:sz w:val="18"/>
                <w:szCs w:val="18"/>
              </w:rPr>
              <w:t xml:space="preserve">[Job title / department]</w:t>
            </w:r>
          </w:p>
        </w:tc>
      </w:tr>
    </w:tbl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0"/>
        <w:gridCol w:w="7200"/>
      </w:tblGrid>
      <w:tr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2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2A0"/>
                <w:sz w:val="18"/>
                <w:szCs w:val="18"/>
              </w:rPr>
              <w:t xml:space="preserve">Primary Contact Email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555555"/>
                <w:sz w:val="18"/>
                <w:szCs w:val="18"/>
              </w:rPr>
              <w:t xml:space="preserve">[Email address]</w:t>
            </w:r>
          </w:p>
        </w:tc>
      </w:tr>
    </w:tbl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0"/>
        <w:gridCol w:w="7200"/>
      </w:tblGrid>
      <w:tr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2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52A0"/>
                <w:sz w:val="18"/>
                <w:szCs w:val="18"/>
              </w:rPr>
              <w:t xml:space="preserve">Primary Contact Phone</w:t>
            </w:r>
          </w:p>
        </w:tc>
        <w:tc>
          <w:tcPr>
            <w:tcW w:type="dxa" w:w="7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555555"/>
                <w:sz w:val="18"/>
                <w:szCs w:val="18"/>
              </w:rPr>
              <w:t xml:space="preserve">[Phone number with country code]</w:t>
            </w:r>
          </w:p>
        </w:tc>
      </w:tr>
    </w:tbl>
    <w:p>
      <w:pPr>
        <w:spacing w:after="120" w:before="0"/>
      </w:pPr>
    </w:p>
    <w:p>
      <w:pPr>
        <w:pStyle w:val="Heading1"/>
        <w:pBdr>
          <w:bottom w:val="single" w:color="C9A227" w:sz="6" w:space="4"/>
        </w:pBdr>
        <w:spacing w:after="120" w:before="320"/>
      </w:pPr>
      <w:r>
        <w:rPr>
          <w:rFonts w:ascii="Arial" w:cs="Arial" w:eastAsia="Arial" w:hAnsi="Arial"/>
          <w:b/>
          <w:bCs/>
          <w:color w:val="1A52A0"/>
          <w:sz w:val="28"/>
          <w:szCs w:val="28"/>
        </w:rPr>
        <w:t xml:space="preserve">Section 2: Project Overview &amp; Business Context</w:t>
      </w:r>
    </w:p>
    <w:p>
      <w:pPr>
        <w:spacing w:after="80" w:before="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Provide a clear narrative of why you are looking for an LMS and what success looks like for your organization.</w:t>
      </w:r>
    </w:p>
    <w:p>
      <w:pPr>
        <w:spacing w:after="60" w:before="0"/>
      </w:pP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2.1 Why Are You Issuing This RFP?</w:t>
      </w:r>
    </w:p>
    <w:p>
      <w:pPr>
        <w:pBdr>
          <w:left w:val="single" w:color="1A52A0" w:sz="18" w:space="8"/>
        </w:pBdr>
        <w:spacing w:after="120" w:before="120"/>
        <w:ind w:left="200"/>
      </w:pPr>
      <w:r>
        <w:rPr>
          <w:rFonts w:ascii="Arial" w:cs="Arial" w:eastAsia="Arial" w:hAnsi="Arial"/>
          <w:i/>
          <w:iCs/>
          <w:color w:val="000000"/>
          <w:sz w:val="18"/>
          <w:szCs w:val="18"/>
        </w:rPr>
        <w:t xml:space="preserve">Describe your current training challenges, gaps, or triggers for this initiative. Be specific — vague context leads to generic vendor responses.</w:t>
      </w:r>
    </w:p>
    <w:p>
      <w:pPr>
        <w:spacing w:after="6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20"/>
              <w:left w:type="dxa" w:w="180"/>
              <w:bottom w:type="dxa" w:w="480"/>
              <w:right w:type="dxa" w:w="180"/>
            </w:tcMar>
          </w:tcPr>
          <w:p>
            <w:r>
              <w:rPr>
                <w:rFonts w:ascii="Arial" w:cs="Arial" w:eastAsia="Arial" w:hAnsi="Arial"/>
                <w:i/>
                <w:iCs/>
                <w:color w:val="555555"/>
                <w:sz w:val="18"/>
                <w:szCs w:val="18"/>
              </w:rPr>
              <w:t xml:space="preserve">[Describe your primary reason for issuing this RFP in 3–5 sentences. Examples: replacing a legacy system, scaling from 500 to 5,000 users, consolidating LMS+TMS+LXP into one platform, regulatory compliance requirements, etc.]</w:t>
            </w:r>
          </w:p>
        </w:tc>
      </w:tr>
    </w:tbl>
    <w:p>
      <w:pPr>
        <w:spacing w:after="80" w:before="0"/>
      </w:pP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2.2 Strategic Learning &amp; Development Goals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900"/>
        <w:gridCol w:w="2760"/>
        <w:gridCol w:w="2500"/>
      </w:tblGrid>
      <w:tr>
        <w:trPr>
          <w:tblHeader/>
        </w:trPr>
        <w:tc>
          <w:tcPr>
            <w:tcW w:type="dxa" w:w="32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Training Goal</w:t>
            </w:r>
          </w:p>
        </w:tc>
        <w:tc>
          <w:tcPr>
            <w:tcW w:type="dxa" w:w="9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Priority (M/N/NR)</w:t>
            </w:r>
          </w:p>
        </w:tc>
        <w:tc>
          <w:tcPr>
            <w:tcW w:type="dxa" w:w="276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Current State</w:t>
            </w:r>
          </w:p>
        </w:tc>
        <w:tc>
          <w:tcPr>
            <w:tcW w:type="dxa" w:w="25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Target State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Employee Onboarding Acceleration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TBD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Compliance &amp; Regulatory Training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TBD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Skills Development &amp; Upskilling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TBD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Customer / Partner / Channel Training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TBD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Leadership &amp; Management Development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TBD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Sales Enablement Training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TBD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Safety &amp; Risk Management Training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TBD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DEI &amp; Cultural Training Programs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TBD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Product &amp; Technical Training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TBD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Other (describe below)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TBD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2.3 Expected Outcomes &amp; Success Metrics</w:t>
      </w:r>
    </w:p>
    <w:p>
      <w:pPr>
        <w:spacing w:after="80" w:before="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Define how you will measure the success of the LMS implementation within 6, 12, and 24 months.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900"/>
        <w:gridCol w:w="2760"/>
        <w:gridCol w:w="2500"/>
      </w:tblGrid>
      <w:tr>
        <w:trPr>
          <w:tblHeader/>
        </w:trPr>
        <w:tc>
          <w:tcPr>
            <w:tcW w:type="dxa" w:w="32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Success Metric</w:t>
            </w:r>
          </w:p>
        </w:tc>
        <w:tc>
          <w:tcPr>
            <w:tcW w:type="dxa" w:w="9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Priority</w:t>
            </w:r>
          </w:p>
        </w:tc>
        <w:tc>
          <w:tcPr>
            <w:tcW w:type="dxa" w:w="276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Current Baseline</w:t>
            </w:r>
          </w:p>
        </w:tc>
        <w:tc>
          <w:tcPr>
            <w:tcW w:type="dxa" w:w="25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12-Month Target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Learner Completion Rate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[Baseline %]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[Target %]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Time-to-Competency Reduction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[Current timeline]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[Target timeline]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Training Admin Time Saved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[Current hours/week]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[Target hours/week]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Compliance Pass Rate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[Baseline %]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[Target %]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Learner Satisfaction (CSAT/NPS)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[Baseline score]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[Target score]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Cost Per Learning Hour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[Current cost]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[Target cost]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Other KPI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p>
      <w:r>
        <w:br w:type="page"/>
      </w:r>
    </w:p>
    <w:p>
      <w:pPr>
        <w:pStyle w:val="Heading1"/>
        <w:pBdr>
          <w:bottom w:val="single" w:color="C9A227" w:sz="6" w:space="4"/>
        </w:pBdr>
        <w:spacing w:after="120" w:before="320"/>
      </w:pPr>
      <w:r>
        <w:rPr>
          <w:rFonts w:ascii="Arial" w:cs="Arial" w:eastAsia="Arial" w:hAnsi="Arial"/>
          <w:b/>
          <w:bCs/>
          <w:color w:val="1A52A0"/>
          <w:sz w:val="28"/>
          <w:szCs w:val="28"/>
        </w:rPr>
        <w:t xml:space="preserve">Section 3: Learner Profile &amp; Audience</w:t>
      </w:r>
    </w:p>
    <w:p>
      <w:pPr>
        <w:spacing w:after="80" w:before="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Understanding who will use the LMS is critical to vendor selection. Provide as much detail as possible.</w:t>
      </w:r>
    </w:p>
    <w:p>
      <w:pPr>
        <w:spacing w:after="6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900"/>
        <w:gridCol w:w="2760"/>
        <w:gridCol w:w="2500"/>
      </w:tblGrid>
      <w:tr>
        <w:trPr>
          <w:tblHeader/>
        </w:trPr>
        <w:tc>
          <w:tcPr>
            <w:tcW w:type="dxa" w:w="32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Learner Attribute</w:t>
            </w:r>
          </w:p>
        </w:tc>
        <w:tc>
          <w:tcPr>
            <w:tcW w:type="dxa" w:w="9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Priority</w:t>
            </w:r>
          </w:p>
        </w:tc>
        <w:tc>
          <w:tcPr>
            <w:tcW w:type="dxa" w:w="276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Current State</w:t>
            </w:r>
          </w:p>
        </w:tc>
        <w:tc>
          <w:tcPr>
            <w:tcW w:type="dxa" w:w="25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Primary learner type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[e.g., Full-time employees]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Secondary learner types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[e.g., Contractors, Partners, Customers]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% Desk-based workers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[Approximate %]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% Frontline / Deskless workers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[Approximate %]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% Remote workers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[Approximate %]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Average digital literacy level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[Low / Medium / High]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Age range of primary audience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[e.g., 25–45 years]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Languages required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[List all languages needed]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Accessibility requirements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[Yes / No — describe if yes]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Union or regulated workforce?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[Yes / No — describe if yes]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pStyle w:val="Heading1"/>
        <w:pBdr>
          <w:bottom w:val="single" w:color="C9A227" w:sz="6" w:space="4"/>
        </w:pBdr>
        <w:spacing w:after="120" w:before="320"/>
      </w:pPr>
      <w:r>
        <w:rPr>
          <w:rFonts w:ascii="Arial" w:cs="Arial" w:eastAsia="Arial" w:hAnsi="Arial"/>
          <w:b/>
          <w:bCs/>
          <w:color w:val="1A52A0"/>
          <w:sz w:val="28"/>
          <w:szCs w:val="28"/>
        </w:rPr>
        <w:t xml:space="preserve">Section 4: Current Technology Landscape</w:t>
      </w:r>
    </w:p>
    <w:p>
      <w:pPr>
        <w:spacing w:after="80" w:before="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List all key systems that the LMS must integrate or coexist with. Be as specific as possible — including version numbers where known.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900"/>
        <w:gridCol w:w="2760"/>
        <w:gridCol w:w="2500"/>
      </w:tblGrid>
      <w:tr>
        <w:trPr>
          <w:tblHeader/>
        </w:trPr>
        <w:tc>
          <w:tcPr>
            <w:tcW w:type="dxa" w:w="32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System Category</w:t>
            </w:r>
          </w:p>
        </w:tc>
        <w:tc>
          <w:tcPr>
            <w:tcW w:type="dxa" w:w="9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Priority</w:t>
            </w:r>
          </w:p>
        </w:tc>
        <w:tc>
          <w:tcPr>
            <w:tcW w:type="dxa" w:w="276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Platform Used</w:t>
            </w:r>
          </w:p>
        </w:tc>
        <w:tc>
          <w:tcPr>
            <w:tcW w:type="dxa" w:w="25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Integration Notes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HRIS / HCM Platform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[e.g., Workday, SAP SuccessFactors, BambooHR, ADP]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CRM System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[e.g., Salesforce, HubSpot, Microsoft Dynamics]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Collaboration Tools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[e.g., Microsoft Teams, Slack, Zoom, Google Workspace]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Content Authoring Tool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[e.g., Articulate 360, Adobe Captivate, iSpring]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Performance Management System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[e.g., Lattice, 15Five, Workday]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Identity Provider / SSO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[e.g., Okta, Azure AD, OneLogin, Google]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Content Library / Marketplace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[e.g., LinkedIn Learning, Coursera, Udemy Business]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ERP System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[e.g., SAP, Oracle, Microsoft Dynamics 365]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Data Warehouse / BI Tool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[e.g., Tableau, Power BI, Looker, Snowflake]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Other systems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[List any other key systems]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/>
      </w:pPr>
    </w:p>
    <w:p>
      <w:r>
        <w:br w:type="page"/>
      </w:r>
    </w:p>
    <w:p>
      <w:pPr>
        <w:pBdr>
          <w:top w:val="single" w:color="C9A227" w:sz="4"/>
          <w:bottom w:val="single" w:color="C9A227" w:sz="4"/>
        </w:pBdr>
        <w:shd w:fill="1A52A0" w:val="clear"/>
        <w:spacing w:after="80" w:before="0"/>
        <w:ind w:left="240" w:right="240"/>
      </w:pPr>
      <w:r>
        <w:rPr>
          <w:rFonts w:ascii="Arial" w:cs="Arial" w:eastAsia="Arial" w:hAnsi="Arial"/>
          <w:b/>
          <w:bCs/>
          <w:color w:val="FFFFFF"/>
          <w:sz w:val="36"/>
          <w:szCs w:val="36"/>
        </w:rPr>
        <w:t xml:space="preserve">PART B: VENDOR REQUIREMENTS</w:t>
      </w:r>
    </w:p>
    <w:p>
      <w:pPr>
        <w:spacing w:after="60" w:before="0"/>
      </w:pPr>
    </w:p>
    <w:p>
      <w:pPr>
        <w:spacing w:after="80" w:before="6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20"/>
          <w:szCs w:val="20"/>
        </w:rPr>
        <w:t xml:space="preserve">Instructions for Vendors: For each requirement, indicate your response using the following codes: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1200"/>
        <w:gridCol w:w="3660"/>
      </w:tblGrid>
      <w:tr>
        <w:trPr>
          <w:tblHeader/>
        </w:trPr>
        <w:tc>
          <w:tcPr>
            <w:tcW w:type="dxa" w:w="45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Response Code</w:t>
            </w:r>
          </w:p>
        </w:tc>
        <w:tc>
          <w:tcPr>
            <w:tcW w:type="dxa" w:w="12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Meaning</w:t>
            </w:r>
          </w:p>
        </w:tc>
      </w:tr>
      <w:tr>
        <w:tc>
          <w:tcPr>
            <w:tcW w:type="dxa" w:w="4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Y — Yes, fully supported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This capability is available in your current platform with no customization.</w:t>
            </w:r>
          </w:p>
        </w:tc>
      </w:tr>
      <w:tr>
        <w:tc>
          <w:tcPr>
            <w:tcW w:type="dxa" w:w="4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P — Partial / Planned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Partially supported today, or on your roadmap (provide timeline).</w:t>
            </w:r>
          </w:p>
        </w:tc>
      </w:tr>
      <w:tr>
        <w:tc>
          <w:tcPr>
            <w:tcW w:type="dxa" w:w="4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N — No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Not currently available and not on your near-term roadmap.</w:t>
            </w:r>
          </w:p>
        </w:tc>
      </w:tr>
      <w:tr>
        <w:tc>
          <w:tcPr>
            <w:tcW w:type="dxa" w:w="4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 — Custom / Add-on</w:t>
            </w:r>
          </w:p>
        </w:tc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Available but requires custom development or a paid add-on (describe and price separately).</w:t>
            </w:r>
          </w:p>
        </w:tc>
      </w:tr>
    </w:tbl>
    <w:p>
      <w:pPr>
        <w:spacing w:after="120" w:before="0"/>
      </w:pPr>
    </w:p>
    <w:p>
      <w:pPr>
        <w:pStyle w:val="Heading1"/>
        <w:pBdr>
          <w:bottom w:val="single" w:color="C9A227" w:sz="6" w:space="4"/>
        </w:pBdr>
        <w:spacing w:after="120" w:before="320"/>
      </w:pPr>
      <w:r>
        <w:rPr>
          <w:rFonts w:ascii="Arial" w:cs="Arial" w:eastAsia="Arial" w:hAnsi="Arial"/>
          <w:b/>
          <w:bCs/>
          <w:color w:val="1A52A0"/>
          <w:sz w:val="28"/>
          <w:szCs w:val="28"/>
        </w:rPr>
        <w:t xml:space="preserve">Section 5: Core Functional Requirements</w:t>
      </w:r>
    </w:p>
    <w:p>
      <w:pPr>
        <w:spacing w:after="40" w:before="0"/>
      </w:pP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5.1 Course &amp; Content Management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900"/>
        <w:gridCol w:w="2760"/>
        <w:gridCol w:w="2500"/>
      </w:tblGrid>
      <w:tr>
        <w:trPr>
          <w:tblHeader/>
        </w:trPr>
        <w:tc>
          <w:tcPr>
            <w:tcW w:type="dxa" w:w="32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9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Priority</w:t>
            </w:r>
          </w:p>
        </w:tc>
        <w:tc>
          <w:tcPr>
            <w:tcW w:type="dxa" w:w="276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Vendor Response (Y/P/N/C)</w:t>
            </w:r>
          </w:p>
        </w:tc>
        <w:tc>
          <w:tcPr>
            <w:tcW w:type="dxa" w:w="25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Notes / Comments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Upload and manage SCORM 1.2, SCORM 2004, xAPI (Tin Can), CMI5 content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Support for video, audio, PDF, PowerPoint, HTML5 content formats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Built-in course authoring tool (no third-party software required)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Version control for course content (track changes, rollback)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Bulk content upload and batch management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Content tagging, categorization, and advanced search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Content expiry / auto-archiving rules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Multi-language course versions from single source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Content approval workflow before publishing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Support for blended learning (online + ILT in same path)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Microlearning module support (modules &lt; 5 minutes)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Learning path / curriculum builder with prerequisites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AI-assisted content creation or generation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Content duplication and reuse across courses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Offline content access (download for offline viewing)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5.2 Learner Experience &amp; Engagement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900"/>
        <w:gridCol w:w="2760"/>
        <w:gridCol w:w="2500"/>
      </w:tblGrid>
      <w:tr>
        <w:trPr>
          <w:tblHeader/>
        </w:trPr>
        <w:tc>
          <w:tcPr>
            <w:tcW w:type="dxa" w:w="32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9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Priority</w:t>
            </w:r>
          </w:p>
        </w:tc>
        <w:tc>
          <w:tcPr>
            <w:tcW w:type="dxa" w:w="276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Vendor Response (Y/P/N/C)</w:t>
            </w:r>
          </w:p>
        </w:tc>
        <w:tc>
          <w:tcPr>
            <w:tcW w:type="dxa" w:w="25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Notes / Comments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Personalized learning recommendations (AI-driven)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Learner dashboard with progress tracking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Gamification: points, badges, leaderboards, certificates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Social learning: forums, discussion boards, peer comments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Learning streaks, goals, and habit-forming features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Notifications and reminders (email, in-app, push)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Mobile-responsive design (works on any browser/device)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Native mobile app (iOS and Android)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Offline mobile learning with sync on reconnect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Learner self-enrollment in open catalog courses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Collaborative learning features (cohorts, teams)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Mentoring / coaching program management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Learner-generated content (peer knowledge sharing)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Skill gap visualization for each learner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Multilingual learner interface (UI in multiple languages)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5.3 Instructor-Led Training (ILT) &amp; Virtual Classroom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900"/>
        <w:gridCol w:w="2760"/>
        <w:gridCol w:w="2500"/>
      </w:tblGrid>
      <w:tr>
        <w:trPr>
          <w:tblHeader/>
        </w:trPr>
        <w:tc>
          <w:tcPr>
            <w:tcW w:type="dxa" w:w="32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9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Priority</w:t>
            </w:r>
          </w:p>
        </w:tc>
        <w:tc>
          <w:tcPr>
            <w:tcW w:type="dxa" w:w="276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Vendor Response (Y/P/N/C)</w:t>
            </w:r>
          </w:p>
        </w:tc>
        <w:tc>
          <w:tcPr>
            <w:tcW w:type="dxa" w:w="25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Notes / Comments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ILT session creation, scheduling, and management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Virtual classroom integration (Zoom, Teams, Webex, Google Meet)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Waitlist and capacity management for sessions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Attendance tracking (manual check-in and digital)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Instructor / facilitator management portal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Pre-work and post-work assignment per session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Room / resource booking integration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Training calendar with learner and admin views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Automated enrollment based on business rules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Session evaluation / feedback forms (Kirkpatrick L1)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5.4 Assessment &amp; Certification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900"/>
        <w:gridCol w:w="2760"/>
        <w:gridCol w:w="2500"/>
      </w:tblGrid>
      <w:tr>
        <w:trPr>
          <w:tblHeader/>
        </w:trPr>
        <w:tc>
          <w:tcPr>
            <w:tcW w:type="dxa" w:w="32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9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Priority</w:t>
            </w:r>
          </w:p>
        </w:tc>
        <w:tc>
          <w:tcPr>
            <w:tcW w:type="dxa" w:w="276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Vendor Response (Y/P/N/C)</w:t>
            </w:r>
          </w:p>
        </w:tc>
        <w:tc>
          <w:tcPr>
            <w:tcW w:type="dxa" w:w="25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Notes / Comments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Multiple question types: MCQ, true/false, fill-in-the-blank, drag-and-drop, short answer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Question bank with randomization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Passing score configuration and retry limits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Timed assessments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Anti-cheating features (question shuffling, browser lockdown)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Automated certificate generation with custom branding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Certificate expiry and auto re-enrollment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Digital badge issuance (Open Badges standard)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Third-party certification integration (e.g., Credly, Accredible)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Competency-based assessment (not just completion)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Skills verification through assessment results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Observation-based assessment (manager evaluates on-the-job)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5.5 Administration &amp; User Management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900"/>
        <w:gridCol w:w="2760"/>
        <w:gridCol w:w="2500"/>
      </w:tblGrid>
      <w:tr>
        <w:trPr>
          <w:tblHeader/>
        </w:trPr>
        <w:tc>
          <w:tcPr>
            <w:tcW w:type="dxa" w:w="32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9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Priority</w:t>
            </w:r>
          </w:p>
        </w:tc>
        <w:tc>
          <w:tcPr>
            <w:tcW w:type="dxa" w:w="276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Vendor Response (Y/P/N/C)</w:t>
            </w:r>
          </w:p>
        </w:tc>
        <w:tc>
          <w:tcPr>
            <w:tcW w:type="dxa" w:w="25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Notes / Comments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Role-based access control (admin, manager, learner, instructor, author)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Automated user provisioning / de-provisioning via HRIS sync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Single Sign-On (SSO) — SAML 2.0, OAuth2, OIDC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SCIM 2.0 user provisioning standard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Multi-tenant architecture (separate portals per entity/department)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Custom user attributes and organizational hierarchy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Manager self-service (assign training, view team reports)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Bulk user import / export (CSV, XLSX)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User group management with dynamic rules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Automated enrollment based on user attributes (job role, dept, location)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Delegation of admin rights to department-level admins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Guest learner access (external users without full accounts)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p>
      <w:r>
        <w:br w:type="page"/>
      </w: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5.6 Reporting &amp; Analytics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900"/>
        <w:gridCol w:w="2760"/>
        <w:gridCol w:w="2500"/>
      </w:tblGrid>
      <w:tr>
        <w:trPr>
          <w:tblHeader/>
        </w:trPr>
        <w:tc>
          <w:tcPr>
            <w:tcW w:type="dxa" w:w="32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9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Priority</w:t>
            </w:r>
          </w:p>
        </w:tc>
        <w:tc>
          <w:tcPr>
            <w:tcW w:type="dxa" w:w="276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Vendor Response (Y/P/N/C)</w:t>
            </w:r>
          </w:p>
        </w:tc>
        <w:tc>
          <w:tcPr>
            <w:tcW w:type="dxa" w:w="25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Notes / Comments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Pre-built standard reports (completion, enrollment, assessment scores)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Custom report builder (drag-and-drop, no SQL required)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Real-time reporting dashboards for admins and managers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Scheduled report delivery via email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Learning analytics: time-on-task, engagement rates, drop-off points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ROI / business impact reporting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Compliance training tracking and audit-ready reports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Learner journey / training history reports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xAPI / LRS (Learning Record Store) support for advanced analytics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Data export to BI tools (Power BI, Tableau, Looker)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Predictive analytics (at-risk learners, completion likelihood)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Skills gap analysis reporting at team and org level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Multi-format export: PDF, CSV, Excel, API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GDPR-compliant data anonymization in reports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pStyle w:val="Heading1"/>
        <w:pBdr>
          <w:bottom w:val="single" w:color="C9A227" w:sz="6" w:space="4"/>
        </w:pBdr>
        <w:spacing w:after="120" w:before="320"/>
      </w:pPr>
      <w:r>
        <w:rPr>
          <w:rFonts w:ascii="Arial" w:cs="Arial" w:eastAsia="Arial" w:hAnsi="Arial"/>
          <w:b/>
          <w:bCs/>
          <w:color w:val="1A52A0"/>
          <w:sz w:val="28"/>
          <w:szCs w:val="28"/>
        </w:rPr>
        <w:t xml:space="preserve">Section 6: Artificial Intelligence &amp; Emerging Technology</w:t>
      </w:r>
    </w:p>
    <w:p>
      <w:pPr>
        <w:pBdr>
          <w:left w:val="single" w:color="1A52A0" w:sz="18" w:space="8"/>
        </w:pBdr>
        <w:spacing w:after="120" w:before="120"/>
        <w:ind w:left="200"/>
      </w:pPr>
      <w:r>
        <w:rPr>
          <w:rFonts w:ascii="Arial" w:cs="Arial" w:eastAsia="Arial" w:hAnsi="Arial"/>
          <w:i/>
          <w:iCs/>
          <w:color w:val="000000"/>
          <w:sz w:val="18"/>
          <w:szCs w:val="18"/>
        </w:rPr>
        <w:t xml:space="preserve">AI capabilities are increasingly a core differentiator — not a nice-to-have. This section evaluates the depth and maturity of the vendor's AI implementation.</w:t>
      </w:r>
    </w:p>
    <w:p>
      <w:pPr>
        <w:spacing w:after="6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900"/>
        <w:gridCol w:w="2760"/>
        <w:gridCol w:w="2500"/>
      </w:tblGrid>
      <w:tr>
        <w:trPr>
          <w:tblHeader/>
        </w:trPr>
        <w:tc>
          <w:tcPr>
            <w:tcW w:type="dxa" w:w="32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AI Requirement</w:t>
            </w:r>
          </w:p>
        </w:tc>
        <w:tc>
          <w:tcPr>
            <w:tcW w:type="dxa" w:w="9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Priority</w:t>
            </w:r>
          </w:p>
        </w:tc>
        <w:tc>
          <w:tcPr>
            <w:tcW w:type="dxa" w:w="276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Vendor Response (Y/P/N/C)</w:t>
            </w:r>
          </w:p>
        </w:tc>
        <w:tc>
          <w:tcPr>
            <w:tcW w:type="dxa" w:w="25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Notes / Comments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AI-powered personalized learning path recommendations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AI content generation (course outlines, quiz questions, summaries)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AI-assisted translation and localization of content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AI chatbot / virtual learning assistant for learners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AI-driven skill gap identification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Predictive analytics for learner performance and dropout risk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Natural language search (semantic, not just keyword)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AI-generated subtitles and transcripts for video content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Generative AI writing assistance for L&amp;D teams (content authors)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AI-powered assessment difficulty calibration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Responsible AI policy: bias audits, explainability, data privacy safeguards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AI features that work with the customer's own proprietary data (RAG)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Third-party LLM integrations (OpenAI, Google Gemini, Microsoft Copilot)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AI roadmap: describe planned AI capabilities for the next 12 months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pStyle w:val="Heading1"/>
        <w:pBdr>
          <w:bottom w:val="single" w:color="C9A227" w:sz="6" w:space="4"/>
        </w:pBdr>
        <w:spacing w:after="120" w:before="320"/>
      </w:pPr>
      <w:r>
        <w:rPr>
          <w:rFonts w:ascii="Arial" w:cs="Arial" w:eastAsia="Arial" w:hAnsi="Arial"/>
          <w:b/>
          <w:bCs/>
          <w:color w:val="1A52A0"/>
          <w:sz w:val="28"/>
          <w:szCs w:val="28"/>
        </w:rPr>
        <w:t xml:space="preserve">Section 7: Technical Requirements</w:t>
      </w:r>
    </w:p>
    <w:p>
      <w:pPr>
        <w:spacing w:after="40" w:before="0"/>
      </w:pP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7.1 Architecture &amp; Hosting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900"/>
        <w:gridCol w:w="2760"/>
        <w:gridCol w:w="2500"/>
      </w:tblGrid>
      <w:tr>
        <w:trPr>
          <w:tblHeader/>
        </w:trPr>
        <w:tc>
          <w:tcPr>
            <w:tcW w:type="dxa" w:w="32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9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Priority</w:t>
            </w:r>
          </w:p>
        </w:tc>
        <w:tc>
          <w:tcPr>
            <w:tcW w:type="dxa" w:w="276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Vendor Response (Y/P/N/C)</w:t>
            </w:r>
          </w:p>
        </w:tc>
        <w:tc>
          <w:tcPr>
            <w:tcW w:type="dxa" w:w="25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Notes / Comments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Cloud-hosted SaaS (multi-tenant)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Cloud-hosted SaaS (single-tenant / dedicated)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On-premise / self-hosted option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Hybrid deployment (cloud + on-premise data)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Data residency options (specify available regions)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99.9% or higher uptime SLA (provide historical uptime data)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Maintenance windows: planned downtime notification policy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System status page and real-time incident communication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Disaster recovery: RPO and RTO targets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Scalability: handle [X] concurrent users without degradation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7.2 Integrations &amp; APIs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900"/>
        <w:gridCol w:w="2760"/>
        <w:gridCol w:w="2500"/>
      </w:tblGrid>
      <w:tr>
        <w:trPr>
          <w:tblHeader/>
        </w:trPr>
        <w:tc>
          <w:tcPr>
            <w:tcW w:type="dxa" w:w="32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9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Priority</w:t>
            </w:r>
          </w:p>
        </w:tc>
        <w:tc>
          <w:tcPr>
            <w:tcW w:type="dxa" w:w="276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Vendor Response (Y/P/N/C)</w:t>
            </w:r>
          </w:p>
        </w:tc>
        <w:tc>
          <w:tcPr>
            <w:tcW w:type="dxa" w:w="25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Notes / Comments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RESTful API with comprehensive documentation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Webhooks for real-time event notifications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Pre-built connectors for HRIS (Workday, SAP, BambooHR, ADP, Rippling)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Pre-built connectors for CRM (Salesforce, HubSpot)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Pre-built connectors for video conferencing (Zoom, Teams, Webex)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Pre-built connectors for content libraries (LinkedIn Learning, Coursera)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SCIM 2.0 provisioning for user management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Support for SAML 2.0 SSO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API rate limits (describe)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Sandbox / test environment for integration development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Dedicated integration support during implementation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7.3 Performance &amp; Browser Compatibility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900"/>
        <w:gridCol w:w="2760"/>
        <w:gridCol w:w="2500"/>
      </w:tblGrid>
      <w:tr>
        <w:trPr>
          <w:tblHeader/>
        </w:trPr>
        <w:tc>
          <w:tcPr>
            <w:tcW w:type="dxa" w:w="32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9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Priority</w:t>
            </w:r>
          </w:p>
        </w:tc>
        <w:tc>
          <w:tcPr>
            <w:tcW w:type="dxa" w:w="276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Vendor Response (Y/P/N/C)</w:t>
            </w:r>
          </w:p>
        </w:tc>
        <w:tc>
          <w:tcPr>
            <w:tcW w:type="dxa" w:w="25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Notes / Comments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Compatible with latest versions of Chrome, Firefox, Edge, Safari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Works on Windows, macOS, iOS, and Android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Page load time &lt; 3 seconds on standard broadband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Works in low-bandwidth environments (describe minimum requirements)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Keyboard navigation support for accessibility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Screen reader compatibility (JAWS, NVDA, VoiceOver)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p>
      <w:r>
        <w:br w:type="page"/>
      </w:r>
    </w:p>
    <w:p>
      <w:pPr>
        <w:pStyle w:val="Heading1"/>
        <w:pBdr>
          <w:bottom w:val="single" w:color="C9A227" w:sz="6" w:space="4"/>
        </w:pBdr>
        <w:spacing w:after="120" w:before="320"/>
      </w:pPr>
      <w:r>
        <w:rPr>
          <w:rFonts w:ascii="Arial" w:cs="Arial" w:eastAsia="Arial" w:hAnsi="Arial"/>
          <w:b/>
          <w:bCs/>
          <w:color w:val="1A52A0"/>
          <w:sz w:val="28"/>
          <w:szCs w:val="28"/>
        </w:rPr>
        <w:t xml:space="preserve">Section 8: Security, Compliance &amp; Data Privacy</w:t>
      </w:r>
    </w:p>
    <w:p>
      <w:pPr>
        <w:pBdr>
          <w:left w:val="single" w:color="1A52A0" w:sz="18" w:space="8"/>
        </w:pBdr>
        <w:spacing w:after="120" w:before="120"/>
        <w:ind w:left="200"/>
      </w:pPr>
      <w:r>
        <w:rPr>
          <w:rFonts w:ascii="Arial" w:cs="Arial" w:eastAsia="Arial" w:hAnsi="Arial"/>
          <w:i/>
          <w:iCs/>
          <w:color w:val="000000"/>
          <w:sz w:val="18"/>
          <w:szCs w:val="18"/>
        </w:rPr>
        <w:t xml:space="preserve">This section is critical. Request documentation to verify vendor claims. Certifications should be current and auditable.</w:t>
      </w:r>
    </w:p>
    <w:p>
      <w:pPr>
        <w:spacing w:after="6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900"/>
        <w:gridCol w:w="2760"/>
        <w:gridCol w:w="2500"/>
      </w:tblGrid>
      <w:tr>
        <w:trPr>
          <w:tblHeader/>
        </w:trPr>
        <w:tc>
          <w:tcPr>
            <w:tcW w:type="dxa" w:w="32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Security Requirement</w:t>
            </w:r>
          </w:p>
        </w:tc>
        <w:tc>
          <w:tcPr>
            <w:tcW w:type="dxa" w:w="9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Priority</w:t>
            </w:r>
          </w:p>
        </w:tc>
        <w:tc>
          <w:tcPr>
            <w:tcW w:type="dxa" w:w="276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Vendor Response (Y/P/N/C)</w:t>
            </w:r>
          </w:p>
        </w:tc>
        <w:tc>
          <w:tcPr>
            <w:tcW w:type="dxa" w:w="25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Notes / Comments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SOC 2 Type II certified (provide report upon request)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ISO 27001 certified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GDPR compliant (EU data subjects)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CCPA compliant (California residents)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FERPA compliant (educational records — if applicable)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HIPAA compliant (healthcare data — if applicable)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Data encryption at rest (AES-256 or equivalent)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Data encryption in transit (TLS 1.2+)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Multi-factor authentication (MFA) support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Role-based data access controls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Penetration testing: frequency and methodology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Vulnerability disclosure and patch response policy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Incident response SLA (notify customer within X hours)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Data portability: export all data in standard formats upon request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Right to erasure: ability to delete individual learner records (GDPR Art. 17)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Data retention policy (describe default and configurable options)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Sub-processor list and change notification policy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Data processing agreement (DPA) available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pStyle w:val="Heading1"/>
        <w:pBdr>
          <w:bottom w:val="single" w:color="C9A227" w:sz="6" w:space="4"/>
        </w:pBdr>
        <w:spacing w:after="120" w:before="320"/>
      </w:pPr>
      <w:r>
        <w:rPr>
          <w:rFonts w:ascii="Arial" w:cs="Arial" w:eastAsia="Arial" w:hAnsi="Arial"/>
          <w:b/>
          <w:bCs/>
          <w:color w:val="1A52A0"/>
          <w:sz w:val="28"/>
          <w:szCs w:val="28"/>
        </w:rPr>
        <w:t xml:space="preserve">Section 9: Accessibility &amp; DEI Compliance</w:t>
      </w:r>
    </w:p>
    <w:p>
      <w:pPr>
        <w:pBdr>
          <w:left w:val="single" w:color="1A52A0" w:sz="18" w:space="8"/>
        </w:pBdr>
        <w:spacing w:after="120" w:before="120"/>
        <w:ind w:left="200"/>
      </w:pPr>
      <w:r>
        <w:rPr>
          <w:rFonts w:ascii="Arial" w:cs="Arial" w:eastAsia="Arial" w:hAnsi="Arial"/>
          <w:i/>
          <w:iCs/>
          <w:color w:val="000000"/>
          <w:sz w:val="18"/>
          <w:szCs w:val="18"/>
        </w:rPr>
        <w:t xml:space="preserve">Accessibility is a legal requirement in many jurisdictions. Verify all claims with independent accessibility audits, not vendor self-attestation alone.</w:t>
      </w:r>
    </w:p>
    <w:p>
      <w:pPr>
        <w:spacing w:after="6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900"/>
        <w:gridCol w:w="2760"/>
        <w:gridCol w:w="2500"/>
      </w:tblGrid>
      <w:tr>
        <w:trPr>
          <w:tblHeader/>
        </w:trPr>
        <w:tc>
          <w:tcPr>
            <w:tcW w:type="dxa" w:w="32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Accessibility Requirement</w:t>
            </w:r>
          </w:p>
        </w:tc>
        <w:tc>
          <w:tcPr>
            <w:tcW w:type="dxa" w:w="9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Priority</w:t>
            </w:r>
          </w:p>
        </w:tc>
        <w:tc>
          <w:tcPr>
            <w:tcW w:type="dxa" w:w="276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Vendor Response (Y/P/N/C)</w:t>
            </w:r>
          </w:p>
        </w:tc>
        <w:tc>
          <w:tcPr>
            <w:tcW w:type="dxa" w:w="25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Notes / Comments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WCAG 2.1 Level AA conformance (provide VPAT)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Section 508 compliance (US federal / government requirements)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EN 301 549 compliance (European accessibility standard)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Keyboard-only navigation throughout the platform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Screen reader support (JAWS, NVDA, VoiceOver, TalkBack)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Adjustable text size without loss of functionality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High-contrast display mode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Closed captions for all video content (auto-generated + manual edit)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Audio description support for visual content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Dyslexia-friendly font options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Color blindness-friendly design (not relying on color alone)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Multilingual UI including RTL (right-to-left) language support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Cultural sensitivity in default templates and imagery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Accessibility audit frequency and most recent audit date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p>
      <w:r>
        <w:br w:type="page"/>
      </w:r>
    </w:p>
    <w:p>
      <w:pPr>
        <w:pStyle w:val="Heading1"/>
        <w:pBdr>
          <w:bottom w:val="single" w:color="C9A227" w:sz="6" w:space="4"/>
        </w:pBdr>
        <w:spacing w:after="120" w:before="320"/>
      </w:pPr>
      <w:r>
        <w:rPr>
          <w:rFonts w:ascii="Arial" w:cs="Arial" w:eastAsia="Arial" w:hAnsi="Arial"/>
          <w:b/>
          <w:bCs/>
          <w:color w:val="1A52A0"/>
          <w:sz w:val="28"/>
          <w:szCs w:val="28"/>
        </w:rPr>
        <w:t xml:space="preserve">Section 10: Implementation &amp; Onboarding</w:t>
      </w:r>
    </w:p>
    <w:p>
      <w:pPr>
        <w:spacing w:after="80" w:before="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A great platform with a poor implementation destroys ROI. This section evaluates how vendors get you from contract signature to live launch — and what happens in the critical first 90 days.</w:t>
      </w:r>
    </w:p>
    <w:p>
      <w:pPr>
        <w:spacing w:after="6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900"/>
        <w:gridCol w:w="2760"/>
        <w:gridCol w:w="2500"/>
      </w:tblGrid>
      <w:tr>
        <w:trPr>
          <w:tblHeader/>
        </w:trPr>
        <w:tc>
          <w:tcPr>
            <w:tcW w:type="dxa" w:w="32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Implementation Requirement</w:t>
            </w:r>
          </w:p>
        </w:tc>
        <w:tc>
          <w:tcPr>
            <w:tcW w:type="dxa" w:w="9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Priority</w:t>
            </w:r>
          </w:p>
        </w:tc>
        <w:tc>
          <w:tcPr>
            <w:tcW w:type="dxa" w:w="276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Vendor Response (Y/P/N/C)</w:t>
            </w:r>
          </w:p>
        </w:tc>
        <w:tc>
          <w:tcPr>
            <w:tcW w:type="dxa" w:w="25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Notes / Comments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Dedicated implementation project manager assigned to your account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Formal implementation methodology (describe: waterfall, agile, hybrid)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Implementation timeline for our use case (see Section 1 for scale)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Data migration support from existing LMS (if applicable)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Configuration and branding setup included in implementation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Integration setup support during implementation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Admin and super-admin training sessions (live or recorded)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End-user training resources (guide, help articles, video walkthroughs)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Go-live readiness checklist and sign-off process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30-60-90 day post-launch hypercare support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Change management resources (communication templates, adoption playbooks)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Sandbox environment available during and after implementation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Content migration services (existing content re-uploaded or converted)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Implementation success stories from similar industries/sizes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pStyle w:val="Heading1"/>
        <w:pBdr>
          <w:bottom w:val="single" w:color="C9A227" w:sz="6" w:space="4"/>
        </w:pBdr>
        <w:spacing w:after="120" w:before="320"/>
      </w:pPr>
      <w:r>
        <w:rPr>
          <w:rFonts w:ascii="Arial" w:cs="Arial" w:eastAsia="Arial" w:hAnsi="Arial"/>
          <w:b/>
          <w:bCs/>
          <w:color w:val="1A52A0"/>
          <w:sz w:val="28"/>
          <w:szCs w:val="28"/>
        </w:rPr>
        <w:t xml:space="preserve">Section 11: Ongoing Support &amp; Customer Success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900"/>
        <w:gridCol w:w="2760"/>
        <w:gridCol w:w="2500"/>
      </w:tblGrid>
      <w:tr>
        <w:trPr>
          <w:tblHeader/>
        </w:trPr>
        <w:tc>
          <w:tcPr>
            <w:tcW w:type="dxa" w:w="32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Support Requirement</w:t>
            </w:r>
          </w:p>
        </w:tc>
        <w:tc>
          <w:tcPr>
            <w:tcW w:type="dxa" w:w="9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Priority</w:t>
            </w:r>
          </w:p>
        </w:tc>
        <w:tc>
          <w:tcPr>
            <w:tcW w:type="dxa" w:w="276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Vendor Response (Y/P/N/C)</w:t>
            </w:r>
          </w:p>
        </w:tc>
        <w:tc>
          <w:tcPr>
            <w:tcW w:type="dxa" w:w="25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Notes / Comments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Dedicated Customer Success Manager (CSM) post-launch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24/7 technical support (describe coverage model)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Support channels available: live chat, email, phone, tickets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SLA for P1 (critical) issues: target response and resolution time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SLA for P2 (major) issues: target response and resolution time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Self-service help center / knowledge base with search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In-app guided help and contextual tooltips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Community forum / user group for peer support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Dedicated training for new platform feature releases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Release notes and advance notification of breaking changes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Admin certification or training program offered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Annual platform health check / QBR with CSM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Support available in [list required languages]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p>
      <w:r>
        <w:br w:type="page"/>
      </w:r>
    </w:p>
    <w:p>
      <w:pPr>
        <w:pStyle w:val="Heading1"/>
        <w:pBdr>
          <w:bottom w:val="single" w:color="C9A227" w:sz="6" w:space="4"/>
        </w:pBdr>
        <w:spacing w:after="120" w:before="320"/>
      </w:pPr>
      <w:r>
        <w:rPr>
          <w:rFonts w:ascii="Arial" w:cs="Arial" w:eastAsia="Arial" w:hAnsi="Arial"/>
          <w:b/>
          <w:bCs/>
          <w:color w:val="1A52A0"/>
          <w:sz w:val="28"/>
          <w:szCs w:val="28"/>
        </w:rPr>
        <w:t xml:space="preserve">Section 12: Pricing, Licensing &amp; Total Cost of Ownership</w:t>
      </w:r>
    </w:p>
    <w:p>
      <w:pPr>
        <w:pBdr>
          <w:left w:val="single" w:color="1A52A0" w:sz="18" w:space="8"/>
        </w:pBdr>
        <w:spacing w:after="120" w:before="120"/>
        <w:ind w:left="200"/>
      </w:pPr>
      <w:r>
        <w:rPr>
          <w:rFonts w:ascii="Arial" w:cs="Arial" w:eastAsia="Arial" w:hAnsi="Arial"/>
          <w:i/>
          <w:iCs/>
          <w:color w:val="000000"/>
          <w:sz w:val="18"/>
          <w:szCs w:val="18"/>
        </w:rPr>
        <w:t xml:space="preserve">Request fully itemized pricing. Hidden costs — integrations, migration, advanced reporting, extra storage, SSO — are the most common source of budget overruns.</w:t>
      </w:r>
    </w:p>
    <w:p>
      <w:pPr>
        <w:spacing w:after="60" w:before="0"/>
      </w:pP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12.1 Licensing Model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900"/>
        <w:gridCol w:w="2760"/>
        <w:gridCol w:w="2500"/>
      </w:tblGrid>
      <w:tr>
        <w:trPr>
          <w:tblHeader/>
        </w:trPr>
        <w:tc>
          <w:tcPr>
            <w:tcW w:type="dxa" w:w="32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Pricing Model</w:t>
            </w:r>
          </w:p>
        </w:tc>
        <w:tc>
          <w:tcPr>
            <w:tcW w:type="dxa" w:w="9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Applicable?</w:t>
            </w:r>
          </w:p>
        </w:tc>
        <w:tc>
          <w:tcPr>
            <w:tcW w:type="dxa" w:w="276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Quoted Price</w:t>
            </w:r>
          </w:p>
        </w:tc>
        <w:tc>
          <w:tcPr>
            <w:tcW w:type="dxa" w:w="25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Per active learner / month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[Quote for our volume]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Per registered user / month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[Quote for our volume]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Per admin user / month (flat rate, unlimited learners)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[Quote for our volume]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Enterprise flat fee / annual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[Quote for our volume]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Site license (unlimited users within defined scope)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[Quote for our volume]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12.2 Full Cost Breakdown (Year 1)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900"/>
        <w:gridCol w:w="2760"/>
        <w:gridCol w:w="2500"/>
      </w:tblGrid>
      <w:tr>
        <w:trPr>
          <w:tblHeader/>
        </w:trPr>
        <w:tc>
          <w:tcPr>
            <w:tcW w:type="dxa" w:w="32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Cost Item</w:t>
            </w:r>
          </w:p>
        </w:tc>
        <w:tc>
          <w:tcPr>
            <w:tcW w:type="dxa" w:w="9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Included in License?</w:t>
            </w:r>
          </w:p>
        </w:tc>
        <w:tc>
          <w:tcPr>
            <w:tcW w:type="dxa" w:w="276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Year 1 Cost</w:t>
            </w:r>
          </w:p>
        </w:tc>
        <w:tc>
          <w:tcPr>
            <w:tcW w:type="dxa" w:w="25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Platform license fee (Year 1)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Implementation / setup fee (one-time)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Data migration from existing LMS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Integration development / connectors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Training for admins and L&amp;D team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Custom branding / white-labeling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Content authoring tool (if separate)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Additional storage beyond standard allocation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Advanced reporting / analytics module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SSO / SCIM setup fee (if any)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Premium support tier upgrade (if desired)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TOTAL YEAR 1 COST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12.3 Multi-Year Cost Projection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900"/>
        <w:gridCol w:w="2760"/>
        <w:gridCol w:w="2500"/>
      </w:tblGrid>
      <w:tr>
        <w:trPr>
          <w:tblHeader/>
        </w:trPr>
        <w:tc>
          <w:tcPr>
            <w:tcW w:type="dxa" w:w="32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Period</w:t>
            </w:r>
          </w:p>
        </w:tc>
        <w:tc>
          <w:tcPr>
            <w:tcW w:type="dxa" w:w="9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Base License</w:t>
            </w:r>
          </w:p>
        </w:tc>
        <w:tc>
          <w:tcPr>
            <w:tcW w:type="dxa" w:w="276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Support &amp; Maintenance</w:t>
            </w:r>
          </w:p>
        </w:tc>
        <w:tc>
          <w:tcPr>
            <w:tcW w:type="dxa" w:w="25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Projected Total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Year 1 Total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Year 2 Total (with renewal rate)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Year 3 Total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Year 4 Total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Year 5 Total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3-YEAR TOTAL COST OF OWNERSHIP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5-YEAR TOTAL COST OF OWNERSHIP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12.4 Pricing Terms &amp; Protections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900"/>
        <w:gridCol w:w="2760"/>
        <w:gridCol w:w="2500"/>
      </w:tblGrid>
      <w:tr>
        <w:trPr>
          <w:tblHeader/>
        </w:trPr>
        <w:tc>
          <w:tcPr>
            <w:tcW w:type="dxa" w:w="32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Pricing Term</w:t>
            </w:r>
          </w:p>
        </w:tc>
        <w:tc>
          <w:tcPr>
            <w:tcW w:type="dxa" w:w="9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Priority</w:t>
            </w:r>
          </w:p>
        </w:tc>
        <w:tc>
          <w:tcPr>
            <w:tcW w:type="dxa" w:w="276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Vendor Response</w:t>
            </w:r>
          </w:p>
        </w:tc>
        <w:tc>
          <w:tcPr>
            <w:tcW w:type="dxa" w:w="25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Annual price increase cap (% or CPI-linked)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Multi-year pricing lock-in available?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Volume discount thresholds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Minimum contract term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Early termination fee / notice period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Refund / SLA credit policy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p>
      <w:r>
        <w:br w:type="page"/>
      </w:r>
    </w:p>
    <w:p>
      <w:pPr>
        <w:pStyle w:val="Heading1"/>
        <w:pBdr>
          <w:bottom w:val="single" w:color="C9A227" w:sz="6" w:space="4"/>
        </w:pBdr>
        <w:spacing w:after="120" w:before="320"/>
      </w:pPr>
      <w:r>
        <w:rPr>
          <w:rFonts w:ascii="Arial" w:cs="Arial" w:eastAsia="Arial" w:hAnsi="Arial"/>
          <w:b/>
          <w:bCs/>
          <w:color w:val="1A52A0"/>
          <w:sz w:val="28"/>
          <w:szCs w:val="28"/>
        </w:rPr>
        <w:t xml:space="preserve">Section 13: Vendor Background &amp; Stability</w:t>
      </w:r>
    </w:p>
    <w:p>
      <w:pPr>
        <w:pBdr>
          <w:left w:val="single" w:color="1A52A0" w:sz="18" w:space="8"/>
        </w:pBdr>
        <w:spacing w:after="120" w:before="120"/>
        <w:ind w:left="200"/>
      </w:pPr>
      <w:r>
        <w:rPr>
          <w:rFonts w:ascii="Arial" w:cs="Arial" w:eastAsia="Arial" w:hAnsi="Arial"/>
          <w:i/>
          <w:iCs/>
          <w:color w:val="000000"/>
          <w:sz w:val="18"/>
          <w:szCs w:val="18"/>
        </w:rPr>
        <w:t xml:space="preserve">You are choosing a long-term technology partner, not just a product. This section assesses vendor health, stability, and commitment to the market.</w:t>
      </w:r>
    </w:p>
    <w:p>
      <w:pPr>
        <w:spacing w:after="6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900"/>
        <w:gridCol w:w="2760"/>
        <w:gridCol w:w="2500"/>
      </w:tblGrid>
      <w:tr>
        <w:trPr>
          <w:tblHeader/>
        </w:trPr>
        <w:tc>
          <w:tcPr>
            <w:tcW w:type="dxa" w:w="32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Vendor Information</w:t>
            </w:r>
          </w:p>
        </w:tc>
        <w:tc>
          <w:tcPr>
            <w:tcW w:type="dxa" w:w="9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Priority</w:t>
            </w:r>
          </w:p>
        </w:tc>
        <w:tc>
          <w:tcPr>
            <w:tcW w:type="dxa" w:w="276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Vendor Response</w:t>
            </w:r>
          </w:p>
        </w:tc>
        <w:tc>
          <w:tcPr>
            <w:tcW w:type="dxa" w:w="25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Company founded year and headquarters location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Total employees (global)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Funding status: bootstrapped / PE-backed / publicly traded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Annual recurring revenue (ARR) or revenue range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Total number of active customers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Largest customer (size, industry — with permission to share)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Customers in our specific industry (list examples)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Customer retention rate (annual)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Recent acquisitions or planned M&amp;A activity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Product roadmap for next 12–24 months (provide high-level summary)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Approach to customer input in product roadmap decisions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Relevant awards, analyst recognition (Gartner, Forrester, G2)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pStyle w:val="Heading1"/>
        <w:pBdr>
          <w:bottom w:val="single" w:color="C9A227" w:sz="6" w:space="4"/>
        </w:pBdr>
        <w:spacing w:after="120" w:before="320"/>
      </w:pPr>
      <w:r>
        <w:rPr>
          <w:rFonts w:ascii="Arial" w:cs="Arial" w:eastAsia="Arial" w:hAnsi="Arial"/>
          <w:b/>
          <w:bCs/>
          <w:color w:val="1A52A0"/>
          <w:sz w:val="28"/>
          <w:szCs w:val="28"/>
        </w:rPr>
        <w:t xml:space="preserve">Section 14: Exit Strategy &amp; Data Portability</w:t>
      </w:r>
    </w:p>
    <w:p>
      <w:pPr>
        <w:pBdr>
          <w:left w:val="single" w:color="1A52A0" w:sz="18" w:space="8"/>
        </w:pBdr>
        <w:spacing w:after="120" w:before="120"/>
        <w:ind w:left="200"/>
      </w:pPr>
      <w:r>
        <w:rPr>
          <w:rFonts w:ascii="Arial" w:cs="Arial" w:eastAsia="Arial" w:hAnsi="Arial"/>
          <w:i/>
          <w:iCs/>
          <w:color w:val="000000"/>
          <w:sz w:val="18"/>
          <w:szCs w:val="18"/>
        </w:rPr>
        <w:t xml:space="preserve">Often overlooked — but critical. Understand how you get YOUR data back if you ever need to leave this vendor.</w:t>
      </w:r>
    </w:p>
    <w:p>
      <w:pPr>
        <w:spacing w:after="6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900"/>
        <w:gridCol w:w="2760"/>
        <w:gridCol w:w="2500"/>
      </w:tblGrid>
      <w:tr>
        <w:trPr>
          <w:tblHeader/>
        </w:trPr>
        <w:tc>
          <w:tcPr>
            <w:tcW w:type="dxa" w:w="32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Exit Requirement</w:t>
            </w:r>
          </w:p>
        </w:tc>
        <w:tc>
          <w:tcPr>
            <w:tcW w:type="dxa" w:w="9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Priority</w:t>
            </w:r>
          </w:p>
        </w:tc>
        <w:tc>
          <w:tcPr>
            <w:tcW w:type="dxa" w:w="276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Vendor Response (Y/P/N/C)</w:t>
            </w:r>
          </w:p>
        </w:tc>
        <w:tc>
          <w:tcPr>
            <w:tcW w:type="dxa" w:w="25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All learner data exportable in standard format (CSV, JSON, xAPI) upon request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All course content exportable (SCORM packages, original source files)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Completion records and transcript data fully exportable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Data export can be performed by customer admin without vendor assistance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Timeline for data delivery upon contract termination (describe)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Data deletion confirmation after termination (describe process and timeline)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Vendor lock-in risks: proprietary content formats used?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Transition assistance offered (data migration to new vendor)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p>
      <w:r>
        <w:br w:type="page"/>
      </w:r>
    </w:p>
    <w:p>
      <w:pPr>
        <w:pStyle w:val="Heading1"/>
        <w:pBdr>
          <w:bottom w:val="single" w:color="C9A227" w:sz="6" w:space="4"/>
        </w:pBdr>
        <w:spacing w:after="120" w:before="320"/>
      </w:pPr>
      <w:r>
        <w:rPr>
          <w:rFonts w:ascii="Arial" w:cs="Arial" w:eastAsia="Arial" w:hAnsi="Arial"/>
          <w:b/>
          <w:bCs/>
          <w:color w:val="1A52A0"/>
          <w:sz w:val="28"/>
          <w:szCs w:val="28"/>
        </w:rPr>
        <w:t xml:space="preserve">Section 15: Pilot &amp; Proof of Concept (POC) Requirements</w:t>
      </w:r>
    </w:p>
    <w:p>
      <w:pPr>
        <w:spacing w:after="80" w:before="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We require a structured Pilot before contract signature. Vendors who cannot offer a meaningful pilot experience will be scored lower in our evaluation.</w:t>
      </w:r>
    </w:p>
    <w:p>
      <w:pPr>
        <w:spacing w:after="6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900"/>
        <w:gridCol w:w="2760"/>
        <w:gridCol w:w="2500"/>
      </w:tblGrid>
      <w:tr>
        <w:trPr>
          <w:tblHeader/>
        </w:trPr>
        <w:tc>
          <w:tcPr>
            <w:tcW w:type="dxa" w:w="32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Pilot Requirement</w:t>
            </w:r>
          </w:p>
        </w:tc>
        <w:tc>
          <w:tcPr>
            <w:tcW w:type="dxa" w:w="9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Priority</w:t>
            </w:r>
          </w:p>
        </w:tc>
        <w:tc>
          <w:tcPr>
            <w:tcW w:type="dxa" w:w="276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Vendor Response (Y/P/N/C)</w:t>
            </w:r>
          </w:p>
        </w:tc>
        <w:tc>
          <w:tcPr>
            <w:tcW w:type="dxa" w:w="25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Free trial or proof-of-concept environment available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Trial duration (minimum 30 days preferred)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Number of user accounts available during trial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Admin access available during trial (not just learner view)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Ability to test integrations during trial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Dedicated support during trial period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Ability to import our own content during trial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Ability to test reporting and analytics during trial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Trial data preserved and migrated to production upon purchase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pStyle w:val="Heading1"/>
        <w:pBdr>
          <w:bottom w:val="single" w:color="C9A227" w:sz="6" w:space="4"/>
        </w:pBdr>
        <w:spacing w:after="120" w:before="320"/>
      </w:pPr>
      <w:r>
        <w:rPr>
          <w:rFonts w:ascii="Arial" w:cs="Arial" w:eastAsia="Arial" w:hAnsi="Arial"/>
          <w:b/>
          <w:bCs/>
          <w:color w:val="1A52A0"/>
          <w:sz w:val="28"/>
          <w:szCs w:val="28"/>
        </w:rPr>
        <w:t xml:space="preserve">Section 16: Evaluation Criteria &amp; Scoring</w:t>
      </w:r>
    </w:p>
    <w:p>
      <w:pPr>
        <w:spacing w:after="80" w:before="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Proposals will be evaluated against the following weighted criteria. Vendors should structure their responses accordingly.</w:t>
      </w:r>
    </w:p>
    <w:p>
      <w:pPr>
        <w:spacing w:after="6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2160"/>
        <w:gridCol w:w="2160"/>
      </w:tblGrid>
      <w:tr>
        <w:tc>
          <w:tcPr>
            <w:tcW w:type="dxa" w:w="504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Evaluation Category</w:t>
            </w:r>
          </w:p>
        </w:tc>
        <w:tc>
          <w:tcPr>
            <w:tcW w:type="dxa" w:w="216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Default Weight</w:t>
            </w:r>
          </w:p>
        </w:tc>
        <w:tc>
          <w:tcPr>
            <w:tcW w:type="dxa" w:w="216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Your Weight</w:t>
            </w:r>
          </w:p>
        </w:tc>
      </w:tr>
      <w:tr>
        <w:tc>
          <w:tcPr>
            <w:tcW w:type="dxa" w:w="50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Functional Requirements (Sections 5–6)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52A0"/>
                <w:sz w:val="18"/>
                <w:szCs w:val="18"/>
              </w:rPr>
              <w:t xml:space="preserve">25%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555555"/>
                <w:sz w:val="18"/>
                <w:szCs w:val="18"/>
              </w:rPr>
              <w:t xml:space="preserve">[Enter %]</w:t>
            </w:r>
          </w:p>
        </w:tc>
      </w:tr>
      <w:tr>
        <w:tc>
          <w:tcPr>
            <w:tcW w:type="dxa" w:w="50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Technical Architecture &amp; Integrations (Section 7)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52A0"/>
                <w:sz w:val="18"/>
                <w:szCs w:val="18"/>
              </w:rPr>
              <w:t xml:space="preserve">15%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555555"/>
                <w:sz w:val="18"/>
                <w:szCs w:val="18"/>
              </w:rPr>
              <w:t xml:space="preserve">[Enter %]</w:t>
            </w:r>
          </w:p>
        </w:tc>
      </w:tr>
      <w:tr>
        <w:tc>
          <w:tcPr>
            <w:tcW w:type="dxa" w:w="50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Security, Compliance &amp; Accessibility (Sections 8–9)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52A0"/>
                <w:sz w:val="18"/>
                <w:szCs w:val="18"/>
              </w:rPr>
              <w:t xml:space="preserve">15%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555555"/>
                <w:sz w:val="18"/>
                <w:szCs w:val="18"/>
              </w:rPr>
              <w:t xml:space="preserve">[Enter %]</w:t>
            </w:r>
          </w:p>
        </w:tc>
      </w:tr>
      <w:tr>
        <w:tc>
          <w:tcPr>
            <w:tcW w:type="dxa" w:w="50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Implementation Quality &amp; Timeline (Section 10)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52A0"/>
                <w:sz w:val="18"/>
                <w:szCs w:val="18"/>
              </w:rPr>
              <w:t xml:space="preserve">10%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555555"/>
                <w:sz w:val="18"/>
                <w:szCs w:val="18"/>
              </w:rPr>
              <w:t xml:space="preserve">[Enter %]</w:t>
            </w:r>
          </w:p>
        </w:tc>
      </w:tr>
      <w:tr>
        <w:tc>
          <w:tcPr>
            <w:tcW w:type="dxa" w:w="50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Support &amp; Customer Success Model (Section 11)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52A0"/>
                <w:sz w:val="18"/>
                <w:szCs w:val="18"/>
              </w:rPr>
              <w:t xml:space="preserve">10%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555555"/>
                <w:sz w:val="18"/>
                <w:szCs w:val="18"/>
              </w:rPr>
              <w:t xml:space="preserve">[Enter %]</w:t>
            </w:r>
          </w:p>
        </w:tc>
      </w:tr>
      <w:tr>
        <w:tc>
          <w:tcPr>
            <w:tcW w:type="dxa" w:w="50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Pricing &amp; Total Cost of Ownership (Section 12)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52A0"/>
                <w:sz w:val="18"/>
                <w:szCs w:val="18"/>
              </w:rPr>
              <w:t xml:space="preserve">15%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555555"/>
                <w:sz w:val="18"/>
                <w:szCs w:val="18"/>
              </w:rPr>
              <w:t xml:space="preserve">[Enter %]</w:t>
            </w:r>
          </w:p>
        </w:tc>
      </w:tr>
      <w:tr>
        <w:tc>
          <w:tcPr>
            <w:tcW w:type="dxa" w:w="50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Vendor Stability &amp; References (Section 13)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52A0"/>
                <w:sz w:val="18"/>
                <w:szCs w:val="18"/>
              </w:rPr>
              <w:t xml:space="preserve">5%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555555"/>
                <w:sz w:val="18"/>
                <w:szCs w:val="18"/>
              </w:rPr>
              <w:t xml:space="preserve">[Enter %]</w:t>
            </w:r>
          </w:p>
        </w:tc>
      </w:tr>
      <w:tr>
        <w:tc>
          <w:tcPr>
            <w:tcW w:type="dxa" w:w="50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AI Capabilities (Section 6)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52A0"/>
                <w:sz w:val="18"/>
                <w:szCs w:val="18"/>
              </w:rPr>
              <w:t xml:space="preserve">5%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555555"/>
                <w:sz w:val="18"/>
                <w:szCs w:val="18"/>
              </w:rPr>
              <w:t xml:space="preserve">[Enter %]</w:t>
            </w:r>
          </w:p>
        </w:tc>
      </w:tr>
      <w:tr>
        <w:tc>
          <w:tcPr>
            <w:tcW w:type="dxa" w:w="50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6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TOTAL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6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52A0"/>
                <w:sz w:val="18"/>
                <w:szCs w:val="18"/>
              </w:rPr>
              <w:t xml:space="preserve">100%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6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i w:val="false"/>
                <w:iCs w:val="false"/>
                <w:color w:val="000000"/>
                <w:sz w:val="18"/>
                <w:szCs w:val="18"/>
              </w:rPr>
              <w:t xml:space="preserve">100%</w:t>
            </w:r>
          </w:p>
        </w:tc>
      </w:tr>
    </w:tbl>
    <w:p>
      <w:pPr>
        <w:spacing w:after="80" w:before="0"/>
      </w:pPr>
    </w:p>
    <w:p>
      <w:pPr>
        <w:pBdr>
          <w:left w:val="single" w:color="1A52A0" w:sz="18" w:space="8"/>
        </w:pBdr>
        <w:spacing w:after="120" w:before="120"/>
        <w:ind w:left="200"/>
      </w:pPr>
      <w:r>
        <w:rPr>
          <w:rFonts w:ascii="Arial" w:cs="Arial" w:eastAsia="Arial" w:hAnsi="Arial"/>
          <w:i/>
          <w:iCs/>
          <w:color w:val="000000"/>
          <w:sz w:val="18"/>
          <w:szCs w:val="18"/>
        </w:rPr>
        <w:t xml:space="preserve">Use the companion LMSPedia LMS RFP Questionnaire (Excel) to automatically calculate weighted scores for each vendor. Available at lmspedia.org</w:t>
      </w:r>
    </w:p>
    <w:p>
      <w:pPr>
        <w:spacing w:after="80" w:before="0"/>
      </w:pPr>
    </w:p>
    <w:p>
      <w:r>
        <w:br w:type="page"/>
      </w:r>
    </w:p>
    <w:p>
      <w:pPr>
        <w:pStyle w:val="Heading1"/>
        <w:pBdr>
          <w:bottom w:val="single" w:color="C9A227" w:sz="6" w:space="4"/>
        </w:pBdr>
        <w:spacing w:after="120" w:before="320"/>
      </w:pPr>
      <w:r>
        <w:rPr>
          <w:rFonts w:ascii="Arial" w:cs="Arial" w:eastAsia="Arial" w:hAnsi="Arial"/>
          <w:b/>
          <w:bCs/>
          <w:color w:val="1A52A0"/>
          <w:sz w:val="28"/>
          <w:szCs w:val="28"/>
        </w:rPr>
        <w:t xml:space="preserve">Section 17: Reference Check Framework</w:t>
      </w:r>
    </w:p>
    <w:p>
      <w:pPr>
        <w:spacing w:after="80" w:before="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Request 3–5 customer references from each vendor. Ask the same questions to every reference for consistent comparison. Prioritize references from your industry and organization size.</w:t>
      </w:r>
    </w:p>
    <w:p>
      <w:pPr>
        <w:spacing w:after="6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900"/>
        <w:gridCol w:w="2760"/>
        <w:gridCol w:w="2500"/>
      </w:tblGrid>
      <w:tr>
        <w:trPr>
          <w:tblHeader/>
        </w:trPr>
        <w:tc>
          <w:tcPr>
            <w:tcW w:type="dxa" w:w="32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Reference Requirement</w:t>
            </w:r>
          </w:p>
        </w:tc>
        <w:tc>
          <w:tcPr>
            <w:tcW w:type="dxa" w:w="9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Priority</w:t>
            </w:r>
          </w:p>
        </w:tc>
        <w:tc>
          <w:tcPr>
            <w:tcW w:type="dxa" w:w="276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Vendor Confirmation</w:t>
            </w:r>
          </w:p>
        </w:tc>
        <w:tc>
          <w:tcPr>
            <w:tcW w:type="dxa" w:w="25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Please provide 3 customer references from organizations similar to ours in size and industry.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At least one reference should be a customer who has used the platform for 2+ years.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At least one reference should have completed a migration from another LMS.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References must be available for a 20-minute phone call upon request.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Reference Interview Questions (Use for Every Reference)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900"/>
        <w:gridCol w:w="2760"/>
        <w:gridCol w:w="2500"/>
      </w:tblGrid>
      <w:tr>
        <w:trPr>
          <w:tblHeader/>
        </w:trPr>
        <w:tc>
          <w:tcPr>
            <w:tcW w:type="dxa" w:w="32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Question</w:t>
            </w:r>
          </w:p>
        </w:tc>
        <w:tc>
          <w:tcPr>
            <w:tcW w:type="dxa" w:w="9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Reference 1 Notes</w:t>
            </w:r>
          </w:p>
        </w:tc>
        <w:tc>
          <w:tcPr>
            <w:tcW w:type="dxa" w:w="276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Reference 2 Notes</w:t>
            </w:r>
          </w:p>
        </w:tc>
        <w:tc>
          <w:tcPr>
            <w:tcW w:type="dxa" w:w="25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Reference 3 Notes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1. Would you choose this vendor again? Why or why not?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2. How long did implementation take vs. what was promised?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3. What were the biggest unexpected challenges?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4. How responsive is support when issues arise?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5. Has the platform scaled as your organization grew?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6. How is the vendor's roadmap keeping pace with your needs?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7. Were there any hidden costs not in the original proposal?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8. How has your learner adoption / engagement been?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9. What would you wish you had asked before signing?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10. On a scale of 1–10, how likely are you to renew?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p>
      <w:r>
        <w:br w:type="page"/>
      </w:r>
    </w:p>
    <w:p>
      <w:pPr>
        <w:pStyle w:val="Heading1"/>
        <w:pBdr>
          <w:bottom w:val="single" w:color="C9A227" w:sz="6" w:space="4"/>
        </w:pBdr>
        <w:spacing w:after="120" w:before="320"/>
      </w:pPr>
      <w:r>
        <w:rPr>
          <w:rFonts w:ascii="Arial" w:cs="Arial" w:eastAsia="Arial" w:hAnsi="Arial"/>
          <w:b/>
          <w:bCs/>
          <w:color w:val="1A52A0"/>
          <w:sz w:val="28"/>
          <w:szCs w:val="28"/>
        </w:rPr>
        <w:t xml:space="preserve">Section 18: Submission Instructions &amp; Timeline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900"/>
        <w:gridCol w:w="2760"/>
        <w:gridCol w:w="2500"/>
      </w:tblGrid>
      <w:tr>
        <w:trPr>
          <w:tblHeader/>
        </w:trPr>
        <w:tc>
          <w:tcPr>
            <w:tcW w:type="dxa" w:w="32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Milestone</w:t>
            </w:r>
          </w:p>
        </w:tc>
        <w:tc>
          <w:tcPr>
            <w:tcW w:type="dxa" w:w="9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Priority</w:t>
            </w:r>
          </w:p>
        </w:tc>
        <w:tc>
          <w:tcPr>
            <w:tcW w:type="dxa" w:w="276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25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RFP Release Date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[Date]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Clarification Questions Deadline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[Date]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Clarification Answers Published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[Date]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Proposal Submission Deadline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[Date, Time, Timezone]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Shortlist Notification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[Date]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Vendor Demos / Presentations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[Date range]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Reference Checks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[Date range]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Final Decision Target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[Date]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Anticipated Contract Start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[Date]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Expected Go-Live Date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[Date]</w:t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pStyle w:val="Heading2"/>
        <w:spacing w:after="120" w:before="20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18.1 Submission Requirements</w:t>
      </w:r>
    </w:p>
    <w:p>
      <w:pPr>
        <w:spacing w:after="80" w:before="6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000000"/>
          <w:sz w:val="20"/>
          <w:szCs w:val="20"/>
        </w:rPr>
        <w:t xml:space="preserve">All proposals must be submitted to the primary contact listed in Section 1. Proposals received after the deadline will not be considered.</w:t>
      </w:r>
    </w:p>
    <w:p>
      <w:pPr>
        <w:spacing w:after="6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900"/>
        <w:gridCol w:w="2760"/>
        <w:gridCol w:w="2500"/>
      </w:tblGrid>
      <w:tr>
        <w:trPr>
          <w:tblHeader/>
        </w:trPr>
        <w:tc>
          <w:tcPr>
            <w:tcW w:type="dxa" w:w="32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Submission Requirement</w:t>
            </w:r>
          </w:p>
        </w:tc>
        <w:tc>
          <w:tcPr>
            <w:tcW w:type="dxa" w:w="9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Mandatory?</w:t>
            </w:r>
          </w:p>
        </w:tc>
        <w:tc>
          <w:tcPr>
            <w:tcW w:type="dxa" w:w="276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Vendor Confirmation</w:t>
            </w:r>
          </w:p>
        </w:tc>
        <w:tc>
          <w:tcPr>
            <w:tcW w:type="dxa" w:w="2500"/>
            <w:tcBorders>
              <w:top w:val="single" w:color="1A52A0" w:sz="1"/>
              <w:left w:val="single" w:color="1A52A0" w:sz="1"/>
              <w:bottom w:val="single" w:color="1A52A0" w:sz="1"/>
              <w:right w:val="single" w:color="1A52A0" w:sz="1"/>
            </w:tcBorders>
            <w:shd w:fill="1A52A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Proposals must be submitted in Microsoft Word or PDF format.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Vendor must complete the companion LMS RFP Questionnaire (Excel) and include it with the proposal.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Pricing must be fully itemized per Section 12 — no lump-sum quotes.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Include all relevant certifications (SOC 2, ISO 27001, WCAG VPAT, etc.).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Include 3 customer references per Section 17 requirements.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</w:t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Include a product roadmap summary for the next 12–24 months.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Include a proposed implementation project plan with timeline.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Proposals will be kept confidential and not shared with competing vendors.</w:t>
            </w:r>
          </w:p>
        </w:tc>
        <w:tc>
          <w:tcPr>
            <w:tcW w:type="dxa" w:w="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p>
      <w:r>
        <w:br w:type="page"/>
      </w:r>
    </w:p>
    <w:p>
      <w:pPr>
        <w:pStyle w:val="Heading1"/>
        <w:pBdr>
          <w:bottom w:val="single" w:color="C9A227" w:sz="6" w:space="4"/>
        </w:pBdr>
        <w:spacing w:after="120" w:before="320"/>
      </w:pPr>
      <w:r>
        <w:rPr>
          <w:rFonts w:ascii="Arial" w:cs="Arial" w:eastAsia="Arial" w:hAnsi="Arial"/>
          <w:b/>
          <w:bCs/>
          <w:color w:val="1A52A0"/>
          <w:sz w:val="28"/>
          <w:szCs w:val="28"/>
        </w:rPr>
        <w:t xml:space="preserve">Section 19: Terms, Conditions &amp; Disclaimers</w:t>
      </w:r>
    </w:p>
    <w:p>
      <w:pPr>
        <w:spacing w:after="80" w:before="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This RFP does not constitute a commitment to purchase. [Organization Name] reserves the right to:</w:t>
      </w:r>
    </w:p>
    <w:p>
      <w:pPr>
        <w:spacing w:after="40" w:before="0"/>
      </w:pP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Accept or reject any or all proposals received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Waive any irregularities in proposals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Cancel this RFP at any time without obligation or penalty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Request additional information from any vendor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Award the contract to one or more vendors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Negotiate with multiple vendors simultaneously</w:t>
      </w:r>
    </w:p>
    <w:p>
      <w:pPr>
        <w:spacing w:after="80" w:before="0"/>
      </w:pPr>
    </w:p>
    <w:p>
      <w:pPr>
        <w:spacing w:after="80" w:before="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All costs incurred by vendors in preparation of proposals are the sole responsibility of the vendor. [Organization Name] shall not be liable for any costs incurred by vendors in responding to this RFP.</w:t>
      </w:r>
    </w:p>
    <w:p>
      <w:pPr>
        <w:spacing w:after="60" w:before="0"/>
      </w:pPr>
    </w:p>
    <w:p>
      <w:pPr>
        <w:spacing w:after="80" w:before="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All information submitted in response to this RFP is subject to Freedom of Information laws and may be subject to public disclosure, except where marked as commercially sensitive.</w:t>
      </w:r>
    </w:p>
    <w:p>
      <w:pPr>
        <w:spacing w:after="8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A227" w:sz="1"/>
              <w:left w:val="single" w:color="C9A227" w:sz="1"/>
              <w:bottom w:val="single" w:color="C9A227" w:sz="1"/>
              <w:right w:val="single" w:color="C9A227" w:sz="1"/>
            </w:tcBorders>
            <w:shd w:fill="FDF6E0" w:val="clear"/>
            <w:tcMar>
              <w:top w:type="dxa" w:w="180"/>
              <w:left w:type="dxa" w:w="240"/>
              <w:bottom w:type="dxa" w:w="180"/>
              <w:right w:type="dxa" w:w="2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52A0"/>
                <w:sz w:val="20"/>
                <w:szCs w:val="20"/>
              </w:rPr>
              <w:t xml:space="preserve">Template produced by LMSPedia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The independent resource for LMS research, comparisons, and procurement.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C9A227"/>
                <w:sz w:val="20"/>
                <w:szCs w:val="20"/>
              </w:rPr>
              <w:t xml:space="preserve">lmspedia.org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color w:val="555555"/>
                <w:sz w:val="16"/>
                <w:szCs w:val="16"/>
              </w:rPr>
              <w:t xml:space="preserve">Pair this document with the LMSPedia LMS RFP Questionnaire for complete vendor evaluation.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A52A0" w:sz="4" w:space="4"/>
      </w:pBdr>
      <w:tabs>
        <w:tab w:val="center" w:pos="4680"/>
        <w:tab w:val="right" w:pos="9360"/>
      </w:tabs>
      <w:spacing w:after="0" w:before="80"/>
    </w:pPr>
    <w:r>
      <w:rPr>
        <w:rFonts w:ascii="Arial" w:cs="Arial" w:eastAsia="Arial" w:hAnsi="Arial"/>
        <w:color w:val="555555"/>
        <w:sz w:val="16"/>
        <w:szCs w:val="16"/>
      </w:rPr>
      <w:t xml:space="preserve">© 2025 LMSPedia  |  lmspedia.org</w:t>
    </w:r>
    <w:r>
      <w:rPr>
        <w:rFonts w:ascii="Arial" w:cs="Arial" w:eastAsia="Arial" w:hAnsi="Arial"/>
        <w:sz w:val="16"/>
        <w:szCs w:val="16"/>
      </w:rPr>
      <w:t xml:space="preserve">	</w:t>
    </w:r>
    <w:r>
      <w:rPr>
        <w:rFonts w:ascii="Arial" w:cs="Arial" w:eastAsia="Arial" w:hAnsi="Arial"/>
        <w:color w:val="555555"/>
        <w:sz w:val="16"/>
        <w:szCs w:val="16"/>
      </w:rPr>
      <w:t xml:space="preserve">Confidential &amp; Proprietary</w:t>
    </w:r>
    <w:r>
      <w:rPr>
        <w:rFonts w:ascii="Arial" w:cs="Arial" w:eastAsia="Arial" w:hAnsi="Arial"/>
        <w:sz w:val="16"/>
        <w:szCs w:val="16"/>
      </w:rPr>
      <w:t xml:space="preserve">	</w:t>
    </w:r>
    <w:r>
      <w:rPr>
        <w:rFonts w:ascii="Arial" w:cs="Arial" w:eastAsia="Arial" w:hAnsi="Arial"/>
        <w:color w:val="555555"/>
        <w:sz w:val="16"/>
        <w:szCs w:val="16"/>
      </w:rPr>
      <w:t xml:space="preserve">Page </w:t>
    </w:r>
    <w:pgNum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9A227" w:sz="6" w:space="4"/>
      </w:pBdr>
      <w:tabs>
        <w:tab w:val="right" w:pos="9360"/>
      </w:tabs>
      <w:spacing w:after="80" w:before="0"/>
    </w:pPr>
    <w:r>
      <w:rPr>
        <w:rFonts w:ascii="Arial" w:cs="Arial" w:eastAsia="Arial" w:hAnsi="Arial"/>
        <w:b/>
        <w:bCs/>
        <w:color w:val="1A52A0"/>
        <w:sz w:val="16"/>
        <w:szCs w:val="16"/>
      </w:rPr>
      <w:t xml:space="preserve">LMSPedia  |  LMS Request for Proposal Template</w:t>
    </w:r>
    <w:r>
      <w:rPr>
        <w:rFonts w:ascii="Arial" w:cs="Arial" w:eastAsia="Arial" w:hAnsi="Arial"/>
        <w:sz w:val="16"/>
        <w:szCs w:val="16"/>
      </w:rPr>
      <w:t xml:space="preserve">	</w:t>
    </w:r>
    <w:r>
      <w:rPr>
        <w:rFonts w:ascii="Arial" w:cs="Arial" w:eastAsia="Arial" w:hAnsi="Arial"/>
        <w:color w:val="C9A227"/>
        <w:sz w:val="16"/>
        <w:szCs w:val="16"/>
      </w:rPr>
      <w:t xml:space="preserve">lmspedia.org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320"/>
      <w:outlineLvl w:val="0"/>
    </w:pPr>
    <w:rPr>
      <w:rFonts w:ascii="Arial" w:cs="Arial" w:eastAsia="Arial" w:hAnsi="Arial"/>
      <w:b/>
      <w:bCs/>
      <w:color w:val="1A52A0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Arial" w:cs="Arial" w:eastAsia="Arial" w:hAnsi="Arial"/>
      <w:b/>
      <w:bCs/>
      <w:color w:val="0000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00aeea285121f582239920003e57836e1b083d3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2026-04-30T02:49:46.134Z</dcterms:created>
  <dcterms:modified xsi:type="dcterms:W3CDTF">2026-04-30T02:49:46.136Z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